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7973" w14:textId="1742C595" w:rsidR="0029194A" w:rsidRPr="00543495" w:rsidRDefault="004D4B57" w:rsidP="004D4B57">
      <w:pPr>
        <w:tabs>
          <w:tab w:val="center" w:pos="6894"/>
          <w:tab w:val="left" w:pos="9980"/>
        </w:tabs>
        <w:ind w:right="112"/>
        <w:rPr>
          <w:rFonts w:cstheme="minorHAnsi"/>
          <w:b/>
          <w:sz w:val="28"/>
          <w:szCs w:val="28"/>
          <w:lang w:val="en-US"/>
        </w:rPr>
      </w:pPr>
      <w:r>
        <w:rPr>
          <w:rFonts w:cstheme="minorHAnsi"/>
          <w:b/>
          <w:sz w:val="28"/>
          <w:szCs w:val="28"/>
          <w:lang w:val="en-US"/>
        </w:rPr>
        <w:tab/>
      </w:r>
      <w:r w:rsidR="005E39BA" w:rsidRPr="00543495">
        <w:rPr>
          <w:rFonts w:cstheme="minorHAnsi"/>
          <w:b/>
          <w:sz w:val="28"/>
          <w:szCs w:val="28"/>
          <w:lang w:val="en-US"/>
        </w:rPr>
        <w:t>MACHINE-READABLE DATA FORM</w:t>
      </w:r>
      <w:r>
        <w:rPr>
          <w:rFonts w:cstheme="minorHAnsi"/>
          <w:b/>
          <w:sz w:val="28"/>
          <w:szCs w:val="28"/>
          <w:lang w:val="en-US"/>
        </w:rPr>
        <w:tab/>
      </w:r>
    </w:p>
    <w:p w14:paraId="2F1CE933" w14:textId="0B564DB6" w:rsidR="005E39BA" w:rsidRPr="00543495" w:rsidRDefault="00A03BD3" w:rsidP="00CA5367">
      <w:pPr>
        <w:ind w:right="112"/>
        <w:rPr>
          <w:rFonts w:cstheme="minorHAnsi"/>
          <w:i/>
          <w:sz w:val="20"/>
          <w:szCs w:val="20"/>
          <w:lang w:val="en-US"/>
        </w:rPr>
      </w:pPr>
      <w:r w:rsidRPr="00543495">
        <w:rPr>
          <w:rFonts w:cstheme="minorHAnsi"/>
          <w:i/>
          <w:sz w:val="20"/>
          <w:szCs w:val="20"/>
          <w:lang w:val="en-US"/>
        </w:rPr>
        <w:t xml:space="preserve">The approval of documents pursuant to the Prospectus Regulation (EU) 2017/1129 </w:t>
      </w:r>
      <w:r w:rsidR="00535F3D">
        <w:rPr>
          <w:rFonts w:cstheme="minorHAnsi"/>
          <w:i/>
          <w:sz w:val="20"/>
          <w:szCs w:val="20"/>
          <w:lang w:val="en-US"/>
        </w:rPr>
        <w:t xml:space="preserve">(PR) </w:t>
      </w:r>
      <w:proofErr w:type="gramStart"/>
      <w:r w:rsidRPr="00543495">
        <w:rPr>
          <w:rFonts w:cstheme="minorHAnsi"/>
          <w:i/>
          <w:sz w:val="20"/>
          <w:szCs w:val="20"/>
          <w:lang w:val="en-US"/>
        </w:rPr>
        <w:t>has to</w:t>
      </w:r>
      <w:proofErr w:type="gramEnd"/>
      <w:r w:rsidRPr="00543495">
        <w:rPr>
          <w:rFonts w:cstheme="minorHAnsi"/>
          <w:i/>
          <w:sz w:val="20"/>
          <w:szCs w:val="20"/>
          <w:lang w:val="en-US"/>
        </w:rPr>
        <w:t xml:space="preserve"> be notified to ESMA together with the machine-readable data </w:t>
      </w:r>
      <w:r w:rsidR="00903C21" w:rsidRPr="00543495">
        <w:rPr>
          <w:rFonts w:cstheme="minorHAnsi"/>
          <w:i/>
          <w:sz w:val="20"/>
          <w:szCs w:val="20"/>
          <w:lang w:val="en-US"/>
        </w:rPr>
        <w:t>indicated</w:t>
      </w:r>
      <w:r w:rsidRPr="00543495">
        <w:rPr>
          <w:rFonts w:cstheme="minorHAnsi"/>
          <w:i/>
          <w:sz w:val="20"/>
          <w:szCs w:val="20"/>
          <w:lang w:val="en-US"/>
        </w:rPr>
        <w:t xml:space="preserve"> in Annex VII of Delegated Regulation (EU) 2019/979. </w:t>
      </w:r>
      <w:proofErr w:type="gramStart"/>
      <w:r w:rsidR="005E39BA" w:rsidRPr="00543495">
        <w:rPr>
          <w:rFonts w:cstheme="minorHAnsi"/>
          <w:i/>
          <w:sz w:val="20"/>
          <w:szCs w:val="20"/>
          <w:lang w:val="en-US"/>
        </w:rPr>
        <w:t>In order for</w:t>
      </w:r>
      <w:proofErr w:type="gramEnd"/>
      <w:r w:rsidR="005E39BA" w:rsidRPr="00543495">
        <w:rPr>
          <w:rFonts w:cstheme="minorHAnsi"/>
          <w:i/>
          <w:sz w:val="20"/>
          <w:szCs w:val="20"/>
          <w:lang w:val="en-US"/>
        </w:rPr>
        <w:t xml:space="preserve"> t</w:t>
      </w:r>
      <w:r w:rsidR="00933BAD">
        <w:rPr>
          <w:rFonts w:cstheme="minorHAnsi"/>
          <w:i/>
          <w:sz w:val="20"/>
          <w:szCs w:val="20"/>
          <w:lang w:val="en-US"/>
        </w:rPr>
        <w:t>he Netherlands Authority for</w:t>
      </w:r>
      <w:r w:rsidR="005E39BA" w:rsidRPr="00543495">
        <w:rPr>
          <w:rFonts w:cstheme="minorHAnsi"/>
          <w:i/>
          <w:sz w:val="20"/>
          <w:szCs w:val="20"/>
          <w:lang w:val="en-US"/>
        </w:rPr>
        <w:t xml:space="preserve"> the Financial Market</w:t>
      </w:r>
      <w:r w:rsidR="004B54EC">
        <w:rPr>
          <w:rFonts w:cstheme="minorHAnsi"/>
          <w:i/>
          <w:sz w:val="20"/>
          <w:szCs w:val="20"/>
          <w:lang w:val="en-US"/>
        </w:rPr>
        <w:t>s</w:t>
      </w:r>
      <w:r w:rsidR="00A77251" w:rsidRPr="00543495">
        <w:rPr>
          <w:rFonts w:cstheme="minorHAnsi"/>
          <w:i/>
          <w:sz w:val="20"/>
          <w:szCs w:val="20"/>
          <w:lang w:val="en-US"/>
        </w:rPr>
        <w:t xml:space="preserve"> (AFM)</w:t>
      </w:r>
      <w:r w:rsidR="005E39BA" w:rsidRPr="00543495">
        <w:rPr>
          <w:rFonts w:cstheme="minorHAnsi"/>
          <w:i/>
          <w:sz w:val="20"/>
          <w:szCs w:val="20"/>
          <w:lang w:val="en-US"/>
        </w:rPr>
        <w:t xml:space="preserve"> to process </w:t>
      </w:r>
      <w:r w:rsidR="00BC1EF3" w:rsidRPr="00543495">
        <w:rPr>
          <w:rFonts w:cstheme="minorHAnsi"/>
          <w:i/>
          <w:sz w:val="20"/>
          <w:szCs w:val="20"/>
          <w:lang w:val="en-US"/>
        </w:rPr>
        <w:t>the approval</w:t>
      </w:r>
      <w:r w:rsidR="00903C21" w:rsidRPr="00543495">
        <w:rPr>
          <w:rFonts w:cstheme="minorHAnsi"/>
          <w:i/>
          <w:sz w:val="20"/>
          <w:szCs w:val="20"/>
          <w:lang w:val="en-US"/>
        </w:rPr>
        <w:t xml:space="preserve"> of prospectuses, </w:t>
      </w:r>
      <w:r w:rsidR="004B54EC">
        <w:rPr>
          <w:rFonts w:cstheme="minorHAnsi"/>
          <w:i/>
          <w:sz w:val="20"/>
          <w:szCs w:val="20"/>
          <w:lang w:val="en-US"/>
        </w:rPr>
        <w:t>please fill in</w:t>
      </w:r>
      <w:r w:rsidR="005E39BA" w:rsidRPr="00543495">
        <w:rPr>
          <w:rFonts w:cstheme="minorHAnsi"/>
          <w:i/>
          <w:sz w:val="20"/>
          <w:szCs w:val="20"/>
          <w:lang w:val="en-US"/>
        </w:rPr>
        <w:t xml:space="preserve"> the requested information and metadata in the tables below</w:t>
      </w:r>
      <w:r w:rsidRPr="00543495">
        <w:rPr>
          <w:rFonts w:cstheme="minorHAnsi"/>
          <w:i/>
          <w:sz w:val="20"/>
          <w:szCs w:val="20"/>
          <w:lang w:val="en-US"/>
        </w:rPr>
        <w:t xml:space="preserve"> and submit the form to the AFM </w:t>
      </w:r>
      <w:r w:rsidR="00903C21" w:rsidRPr="00543495">
        <w:rPr>
          <w:rFonts w:cstheme="minorHAnsi"/>
          <w:i/>
          <w:sz w:val="20"/>
          <w:szCs w:val="20"/>
          <w:u w:val="single"/>
          <w:lang w:val="en-US"/>
        </w:rPr>
        <w:t>three working days</w:t>
      </w:r>
      <w:r w:rsidR="00903C21" w:rsidRPr="00543495">
        <w:rPr>
          <w:rFonts w:cstheme="minorHAnsi"/>
          <w:i/>
          <w:sz w:val="20"/>
          <w:szCs w:val="20"/>
          <w:lang w:val="en-US"/>
        </w:rPr>
        <w:t xml:space="preserve"> </w:t>
      </w:r>
      <w:r w:rsidRPr="00543495">
        <w:rPr>
          <w:rFonts w:cstheme="minorHAnsi"/>
          <w:i/>
          <w:sz w:val="20"/>
          <w:szCs w:val="20"/>
          <w:lang w:val="en-US"/>
        </w:rPr>
        <w:t>before the day of approva</w:t>
      </w:r>
      <w:r w:rsidR="00A77251" w:rsidRPr="00543495">
        <w:rPr>
          <w:rFonts w:cstheme="minorHAnsi"/>
          <w:i/>
          <w:sz w:val="20"/>
          <w:szCs w:val="20"/>
          <w:lang w:val="en-US"/>
        </w:rPr>
        <w:t>l (at the latest)</w:t>
      </w:r>
      <w:r w:rsidRPr="00543495">
        <w:rPr>
          <w:rFonts w:cstheme="minorHAnsi"/>
          <w:i/>
          <w:sz w:val="20"/>
          <w:szCs w:val="20"/>
          <w:lang w:val="en-US"/>
        </w:rPr>
        <w:t>.</w:t>
      </w:r>
    </w:p>
    <w:p w14:paraId="0475052E" w14:textId="68CFD167" w:rsidR="00A8108E" w:rsidRDefault="00A77251" w:rsidP="00CA5367">
      <w:pPr>
        <w:ind w:right="112"/>
        <w:rPr>
          <w:rFonts w:cstheme="minorHAnsi"/>
          <w:i/>
          <w:sz w:val="20"/>
          <w:szCs w:val="20"/>
          <w:lang w:val="en-US"/>
        </w:rPr>
      </w:pPr>
      <w:r w:rsidRPr="00543495">
        <w:rPr>
          <w:rFonts w:cstheme="minorHAnsi"/>
          <w:i/>
          <w:sz w:val="20"/>
          <w:szCs w:val="20"/>
          <w:lang w:val="en-US"/>
        </w:rPr>
        <w:t xml:space="preserve">This form should </w:t>
      </w:r>
      <w:r w:rsidR="004B54EC">
        <w:rPr>
          <w:rFonts w:cstheme="minorHAnsi"/>
          <w:i/>
          <w:sz w:val="20"/>
          <w:szCs w:val="20"/>
          <w:lang w:val="en-US"/>
        </w:rPr>
        <w:t>be filled in</w:t>
      </w:r>
      <w:r w:rsidRPr="00543495">
        <w:rPr>
          <w:rFonts w:cstheme="minorHAnsi"/>
          <w:i/>
          <w:sz w:val="20"/>
          <w:szCs w:val="20"/>
          <w:lang w:val="en-US"/>
        </w:rPr>
        <w:t xml:space="preserve"> and submitted to the AFM for the approval of </w:t>
      </w:r>
      <w:proofErr w:type="spellStart"/>
      <w:proofErr w:type="gramStart"/>
      <w:r w:rsidRPr="00543495">
        <w:rPr>
          <w:rFonts w:cstheme="minorHAnsi"/>
          <w:i/>
          <w:sz w:val="20"/>
          <w:szCs w:val="20"/>
          <w:lang w:val="en-US"/>
        </w:rPr>
        <w:t>stand alone</w:t>
      </w:r>
      <w:proofErr w:type="spellEnd"/>
      <w:proofErr w:type="gramEnd"/>
      <w:r w:rsidRPr="00543495">
        <w:rPr>
          <w:rFonts w:cstheme="minorHAnsi"/>
          <w:i/>
          <w:sz w:val="20"/>
          <w:szCs w:val="20"/>
          <w:lang w:val="en-US"/>
        </w:rPr>
        <w:t xml:space="preserve"> prospectuses, securities notes and base prospectuses that include final terms. For the approval of base prospectuses that do not include final terms the metadata must be provided in xml format at the time of filing of the final terms. Further information regarding that procedure can be found on </w:t>
      </w:r>
      <w:r w:rsidRPr="00CF5307">
        <w:rPr>
          <w:rFonts w:cstheme="minorHAnsi"/>
          <w:i/>
          <w:sz w:val="20"/>
          <w:szCs w:val="20"/>
          <w:lang w:val="en-US"/>
        </w:rPr>
        <w:t xml:space="preserve">our </w:t>
      </w:r>
      <w:hyperlink r:id="rId8" w:history="1">
        <w:r w:rsidRPr="00CF5307">
          <w:rPr>
            <w:rStyle w:val="Hyperlink"/>
            <w:rFonts w:cstheme="minorHAnsi"/>
            <w:i/>
            <w:sz w:val="20"/>
            <w:szCs w:val="20"/>
            <w:lang w:val="en-US"/>
          </w:rPr>
          <w:t>website</w:t>
        </w:r>
      </w:hyperlink>
      <w:r w:rsidR="00CF5307">
        <w:rPr>
          <w:rFonts w:cstheme="minorHAnsi"/>
          <w:i/>
          <w:sz w:val="20"/>
          <w:szCs w:val="20"/>
          <w:lang w:val="en-US"/>
        </w:rPr>
        <w:t xml:space="preserve"> (procedure for filing final terms)</w:t>
      </w:r>
      <w:r w:rsidRPr="00CF5307">
        <w:rPr>
          <w:rFonts w:cstheme="minorHAnsi"/>
          <w:i/>
          <w:sz w:val="20"/>
          <w:szCs w:val="20"/>
          <w:lang w:val="en-US"/>
        </w:rPr>
        <w:t>.</w:t>
      </w:r>
    </w:p>
    <w:p w14:paraId="31D0A391" w14:textId="77777777" w:rsidR="00543495" w:rsidRPr="00543495" w:rsidRDefault="00543495" w:rsidP="00CA5367">
      <w:pPr>
        <w:ind w:right="112"/>
        <w:rPr>
          <w:rFonts w:cstheme="minorHAnsi"/>
          <w:i/>
          <w:sz w:val="20"/>
          <w:szCs w:val="20"/>
          <w:lang w:val="en-US"/>
        </w:rPr>
      </w:pPr>
    </w:p>
    <w:p w14:paraId="3C838E04" w14:textId="2137D029" w:rsidR="00A8108E" w:rsidRPr="00543495" w:rsidRDefault="00A8108E" w:rsidP="00CA5367">
      <w:pPr>
        <w:ind w:right="112"/>
        <w:rPr>
          <w:rFonts w:cstheme="minorHAnsi"/>
          <w:i/>
          <w:sz w:val="20"/>
          <w:szCs w:val="20"/>
          <w:lang w:val="en-US"/>
        </w:rPr>
      </w:pPr>
      <w:r w:rsidRPr="00543495">
        <w:rPr>
          <w:rFonts w:cstheme="minorHAnsi"/>
          <w:i/>
          <w:sz w:val="20"/>
          <w:szCs w:val="20"/>
          <w:lang w:val="en-US"/>
        </w:rPr>
        <w:t xml:space="preserve">Please note that </w:t>
      </w:r>
      <w:r w:rsidRPr="00933BAD">
        <w:rPr>
          <w:rFonts w:cstheme="minorHAnsi"/>
          <w:b/>
          <w:i/>
          <w:sz w:val="20"/>
          <w:szCs w:val="20"/>
          <w:lang w:val="en-US"/>
        </w:rPr>
        <w:t>every fiel</w:t>
      </w:r>
      <w:r w:rsidR="004B54EC" w:rsidRPr="00933BAD">
        <w:rPr>
          <w:rFonts w:cstheme="minorHAnsi"/>
          <w:b/>
          <w:i/>
          <w:sz w:val="20"/>
          <w:szCs w:val="20"/>
          <w:lang w:val="en-US"/>
        </w:rPr>
        <w:t>d should be filled</w:t>
      </w:r>
      <w:r w:rsidR="004B54EC">
        <w:rPr>
          <w:rFonts w:cstheme="minorHAnsi"/>
          <w:i/>
          <w:sz w:val="20"/>
          <w:szCs w:val="20"/>
          <w:lang w:val="en-US"/>
        </w:rPr>
        <w:t xml:space="preserve"> in</w:t>
      </w:r>
      <w:r w:rsidRPr="00543495">
        <w:rPr>
          <w:rFonts w:cstheme="minorHAnsi"/>
          <w:i/>
          <w:sz w:val="20"/>
          <w:szCs w:val="20"/>
          <w:lang w:val="en-US"/>
        </w:rPr>
        <w:t xml:space="preserve"> as all </w:t>
      </w:r>
      <w:r w:rsidR="00865EF9" w:rsidRPr="00543495">
        <w:rPr>
          <w:rFonts w:cstheme="minorHAnsi"/>
          <w:i/>
          <w:sz w:val="20"/>
          <w:szCs w:val="20"/>
          <w:lang w:val="en-US"/>
        </w:rPr>
        <w:t xml:space="preserve">meta data is </w:t>
      </w:r>
      <w:r w:rsidRPr="00933BAD">
        <w:rPr>
          <w:rFonts w:cstheme="minorHAnsi"/>
          <w:b/>
          <w:i/>
          <w:sz w:val="20"/>
          <w:szCs w:val="20"/>
          <w:lang w:val="en-US"/>
        </w:rPr>
        <w:t>mandatory</w:t>
      </w:r>
      <w:r w:rsidRPr="00543495">
        <w:rPr>
          <w:rFonts w:cstheme="minorHAnsi"/>
          <w:i/>
          <w:sz w:val="20"/>
          <w:szCs w:val="20"/>
          <w:lang w:val="en-US"/>
        </w:rPr>
        <w:t>.</w:t>
      </w:r>
      <w:r w:rsidR="00933BAD">
        <w:rPr>
          <w:rFonts w:cstheme="minorHAnsi"/>
          <w:i/>
          <w:sz w:val="20"/>
          <w:szCs w:val="20"/>
          <w:lang w:val="en-US"/>
        </w:rPr>
        <w:t xml:space="preserve"> ‘Not applicable’ can only be filled in for a specific field if so indicated. </w:t>
      </w:r>
      <w:r w:rsidR="00A648E3">
        <w:rPr>
          <w:rFonts w:cstheme="minorHAnsi"/>
          <w:i/>
          <w:sz w:val="20"/>
          <w:szCs w:val="20"/>
          <w:lang w:val="en-US"/>
        </w:rPr>
        <w:t>Please do not submit incomplete forms.</w:t>
      </w:r>
      <w:r w:rsidR="00933BAD">
        <w:rPr>
          <w:rFonts w:cstheme="minorHAnsi"/>
          <w:i/>
          <w:sz w:val="20"/>
          <w:szCs w:val="20"/>
          <w:lang w:val="en-US"/>
        </w:rPr>
        <w:t xml:space="preserve"> </w:t>
      </w:r>
      <w:r w:rsidR="00685CE2" w:rsidRPr="00543495">
        <w:rPr>
          <w:rFonts w:cstheme="minorHAnsi"/>
          <w:i/>
          <w:sz w:val="20"/>
          <w:szCs w:val="20"/>
          <w:lang w:val="en-US"/>
        </w:rPr>
        <w:t xml:space="preserve"> </w:t>
      </w:r>
    </w:p>
    <w:tbl>
      <w:tblPr>
        <w:tblStyle w:val="Tabelraster"/>
        <w:tblW w:w="13603" w:type="dxa"/>
        <w:tblLook w:val="04A0" w:firstRow="1" w:lastRow="0" w:firstColumn="1" w:lastColumn="0" w:noHBand="0" w:noVBand="1"/>
      </w:tblPr>
      <w:tblGrid>
        <w:gridCol w:w="2263"/>
        <w:gridCol w:w="11340"/>
      </w:tblGrid>
      <w:tr w:rsidR="00543495" w:rsidRPr="00D53F17" w14:paraId="60985411" w14:textId="3214E651" w:rsidTr="00385CDE">
        <w:tc>
          <w:tcPr>
            <w:tcW w:w="13603" w:type="dxa"/>
            <w:gridSpan w:val="2"/>
            <w:shd w:val="clear" w:color="auto" w:fill="D9D9D9" w:themeFill="background1" w:themeFillShade="D9"/>
          </w:tcPr>
          <w:p w14:paraId="66D47FF3" w14:textId="7DE435B4" w:rsidR="00543495" w:rsidRPr="00543495" w:rsidRDefault="00543495">
            <w:pPr>
              <w:rPr>
                <w:rFonts w:cstheme="minorHAnsi"/>
                <w:b/>
                <w:sz w:val="20"/>
                <w:szCs w:val="20"/>
                <w:lang w:val="en-US"/>
              </w:rPr>
            </w:pPr>
            <w:r w:rsidRPr="00543495">
              <w:rPr>
                <w:rFonts w:cstheme="minorHAnsi"/>
                <w:b/>
                <w:sz w:val="20"/>
                <w:szCs w:val="20"/>
                <w:lang w:val="en-US"/>
              </w:rPr>
              <w:t>Table 1: Information regarding the approval request</w:t>
            </w:r>
          </w:p>
        </w:tc>
      </w:tr>
      <w:tr w:rsidR="00543495" w:rsidRPr="00933BAD" w14:paraId="015C5663" w14:textId="013D74E8" w:rsidTr="00385CDE">
        <w:tc>
          <w:tcPr>
            <w:tcW w:w="2263" w:type="dxa"/>
            <w:shd w:val="clear" w:color="auto" w:fill="F2F2F2" w:themeFill="background1" w:themeFillShade="F2"/>
          </w:tcPr>
          <w:p w14:paraId="4EDDFE52" w14:textId="77777777" w:rsidR="00543495" w:rsidRPr="00543495" w:rsidRDefault="00543495">
            <w:pPr>
              <w:rPr>
                <w:rFonts w:cstheme="minorHAnsi"/>
                <w:sz w:val="20"/>
                <w:szCs w:val="20"/>
                <w:lang w:val="en-US"/>
              </w:rPr>
            </w:pPr>
            <w:r w:rsidRPr="00543495">
              <w:rPr>
                <w:rFonts w:cstheme="minorHAnsi"/>
                <w:sz w:val="20"/>
                <w:szCs w:val="20"/>
                <w:lang w:val="en-US"/>
              </w:rPr>
              <w:t>Issuer(s):</w:t>
            </w:r>
          </w:p>
        </w:tc>
        <w:tc>
          <w:tcPr>
            <w:tcW w:w="11340" w:type="dxa"/>
          </w:tcPr>
          <w:p w14:paraId="2DBAA3C7" w14:textId="77777777" w:rsidR="00543495" w:rsidRPr="00543495" w:rsidRDefault="00543495">
            <w:pPr>
              <w:rPr>
                <w:rFonts w:cstheme="minorHAnsi"/>
                <w:sz w:val="20"/>
                <w:szCs w:val="20"/>
                <w:lang w:val="en-US"/>
              </w:rPr>
            </w:pPr>
          </w:p>
        </w:tc>
      </w:tr>
      <w:tr w:rsidR="00543495" w:rsidRPr="00543495" w14:paraId="0FA169D2" w14:textId="6C29C54F" w:rsidTr="00385CDE">
        <w:tc>
          <w:tcPr>
            <w:tcW w:w="2263" w:type="dxa"/>
            <w:shd w:val="clear" w:color="auto" w:fill="F2F2F2" w:themeFill="background1" w:themeFillShade="F2"/>
          </w:tcPr>
          <w:p w14:paraId="4E6AD4A1" w14:textId="77777777" w:rsidR="00543495" w:rsidRPr="00543495" w:rsidRDefault="00543495">
            <w:pPr>
              <w:rPr>
                <w:rFonts w:cstheme="minorHAnsi"/>
                <w:sz w:val="20"/>
                <w:szCs w:val="20"/>
                <w:lang w:val="en-US"/>
              </w:rPr>
            </w:pPr>
            <w:r w:rsidRPr="00543495">
              <w:rPr>
                <w:rFonts w:cstheme="minorHAnsi"/>
                <w:sz w:val="20"/>
                <w:szCs w:val="20"/>
                <w:lang w:val="en-US"/>
              </w:rPr>
              <w:t>Name of transaction:</w:t>
            </w:r>
          </w:p>
        </w:tc>
        <w:tc>
          <w:tcPr>
            <w:tcW w:w="11340" w:type="dxa"/>
          </w:tcPr>
          <w:p w14:paraId="19836000" w14:textId="77777777" w:rsidR="00543495" w:rsidRPr="00543495" w:rsidRDefault="00543495">
            <w:pPr>
              <w:rPr>
                <w:rFonts w:cstheme="minorHAnsi"/>
                <w:sz w:val="20"/>
                <w:szCs w:val="20"/>
                <w:lang w:val="en-US"/>
              </w:rPr>
            </w:pPr>
          </w:p>
        </w:tc>
      </w:tr>
      <w:tr w:rsidR="005E75B2" w:rsidRPr="00543495" w14:paraId="07AB7C39" w14:textId="60069845" w:rsidTr="00781357">
        <w:tc>
          <w:tcPr>
            <w:tcW w:w="2263" w:type="dxa"/>
            <w:shd w:val="clear" w:color="auto" w:fill="F2F2F2" w:themeFill="background1" w:themeFillShade="F2"/>
          </w:tcPr>
          <w:p w14:paraId="4780DF70" w14:textId="58BFE049" w:rsidR="005E75B2" w:rsidRPr="00543495" w:rsidRDefault="005E75B2">
            <w:pPr>
              <w:rPr>
                <w:rFonts w:cstheme="minorHAnsi"/>
                <w:sz w:val="20"/>
                <w:szCs w:val="20"/>
                <w:lang w:val="en-US"/>
              </w:rPr>
            </w:pPr>
            <w:r>
              <w:rPr>
                <w:rFonts w:cstheme="minorHAnsi"/>
                <w:sz w:val="20"/>
                <w:szCs w:val="20"/>
                <w:lang w:val="en-US"/>
              </w:rPr>
              <w:t>Date</w:t>
            </w:r>
            <w:r w:rsidR="00221835">
              <w:rPr>
                <w:rFonts w:cstheme="minorHAnsi"/>
                <w:sz w:val="20"/>
                <w:szCs w:val="20"/>
                <w:lang w:val="en-US"/>
              </w:rPr>
              <w:t>:</w:t>
            </w:r>
          </w:p>
        </w:tc>
        <w:tc>
          <w:tcPr>
            <w:tcW w:w="11340" w:type="dxa"/>
          </w:tcPr>
          <w:p w14:paraId="780C78B6" w14:textId="67D14667" w:rsidR="005E75B2" w:rsidRPr="00543495" w:rsidRDefault="005E75B2">
            <w:pPr>
              <w:rPr>
                <w:rFonts w:cstheme="minorHAnsi"/>
                <w:sz w:val="20"/>
                <w:szCs w:val="20"/>
                <w:lang w:val="en-US"/>
              </w:rPr>
            </w:pPr>
          </w:p>
        </w:tc>
      </w:tr>
    </w:tbl>
    <w:p w14:paraId="41CCA670" w14:textId="696CA502" w:rsidR="005E75B2" w:rsidRDefault="005E75B2">
      <w:pPr>
        <w:rPr>
          <w:rFonts w:cstheme="minorHAnsi"/>
          <w:sz w:val="20"/>
          <w:szCs w:val="20"/>
          <w:lang w:val="en-US"/>
        </w:rPr>
      </w:pPr>
    </w:p>
    <w:p w14:paraId="08033F6E" w14:textId="77777777" w:rsidR="004B54EC" w:rsidRPr="00543495" w:rsidRDefault="004B54EC">
      <w:pPr>
        <w:rPr>
          <w:rFonts w:cstheme="minorHAnsi"/>
          <w:sz w:val="20"/>
          <w:szCs w:val="20"/>
          <w:lang w:val="en-US"/>
        </w:rPr>
      </w:pPr>
    </w:p>
    <w:tbl>
      <w:tblPr>
        <w:tblStyle w:val="Tabelraster"/>
        <w:tblW w:w="13603" w:type="dxa"/>
        <w:shd w:val="clear" w:color="auto" w:fill="D9D9D9" w:themeFill="background1" w:themeFillShade="D9"/>
        <w:tblLayout w:type="fixed"/>
        <w:tblLook w:val="04A0" w:firstRow="1" w:lastRow="0" w:firstColumn="1" w:lastColumn="0" w:noHBand="0" w:noVBand="1"/>
      </w:tblPr>
      <w:tblGrid>
        <w:gridCol w:w="1129"/>
        <w:gridCol w:w="3544"/>
        <w:gridCol w:w="5103"/>
        <w:gridCol w:w="3827"/>
      </w:tblGrid>
      <w:tr w:rsidR="00952CA6" w:rsidRPr="00D53F17" w14:paraId="27EC3C38" w14:textId="77777777" w:rsidTr="004B54EC">
        <w:trPr>
          <w:tblHeader/>
        </w:trPr>
        <w:tc>
          <w:tcPr>
            <w:tcW w:w="13603" w:type="dxa"/>
            <w:gridSpan w:val="4"/>
            <w:shd w:val="clear" w:color="auto" w:fill="D9D9D9" w:themeFill="background1" w:themeFillShade="D9"/>
          </w:tcPr>
          <w:p w14:paraId="3CD3E45B" w14:textId="77777777" w:rsidR="00952CA6" w:rsidRPr="00543495" w:rsidRDefault="00952CA6" w:rsidP="00543495">
            <w:pPr>
              <w:rPr>
                <w:rFonts w:cstheme="minorHAnsi"/>
                <w:b/>
                <w:sz w:val="20"/>
                <w:szCs w:val="20"/>
                <w:lang w:val="en-US"/>
              </w:rPr>
            </w:pPr>
            <w:r w:rsidRPr="00543495">
              <w:rPr>
                <w:rFonts w:cstheme="minorHAnsi"/>
                <w:b/>
                <w:sz w:val="20"/>
                <w:szCs w:val="20"/>
                <w:lang w:val="en-US"/>
              </w:rPr>
              <w:t>Table 2: Machine readable data regarding the transaction</w:t>
            </w:r>
          </w:p>
        </w:tc>
      </w:tr>
      <w:tr w:rsidR="00543495" w:rsidRPr="00D53F17" w14:paraId="329F9FC2" w14:textId="77777777" w:rsidTr="004B54EC">
        <w:trPr>
          <w:tblHeader/>
        </w:trPr>
        <w:tc>
          <w:tcPr>
            <w:tcW w:w="1129" w:type="dxa"/>
            <w:shd w:val="clear" w:color="auto" w:fill="D9D9D9" w:themeFill="background1" w:themeFillShade="D9"/>
          </w:tcPr>
          <w:p w14:paraId="2CCEFCEC" w14:textId="77777777" w:rsidR="00B35C81" w:rsidRPr="00543495" w:rsidRDefault="00B35C81" w:rsidP="00543495">
            <w:pPr>
              <w:rPr>
                <w:rFonts w:cstheme="minorHAnsi"/>
                <w:b/>
                <w:sz w:val="20"/>
                <w:szCs w:val="20"/>
                <w:lang w:val="en-US"/>
              </w:rPr>
            </w:pPr>
            <w:r w:rsidRPr="00543495">
              <w:rPr>
                <w:rFonts w:cstheme="minorHAnsi"/>
                <w:b/>
                <w:sz w:val="20"/>
                <w:szCs w:val="20"/>
                <w:lang w:val="en-US"/>
              </w:rPr>
              <w:t>Field</w:t>
            </w:r>
          </w:p>
        </w:tc>
        <w:tc>
          <w:tcPr>
            <w:tcW w:w="3544" w:type="dxa"/>
            <w:shd w:val="clear" w:color="auto" w:fill="D9D9D9" w:themeFill="background1" w:themeFillShade="D9"/>
          </w:tcPr>
          <w:p w14:paraId="1BC9B5A4" w14:textId="77777777" w:rsidR="00B35C81" w:rsidRPr="00543495" w:rsidRDefault="00B35C81" w:rsidP="00543495">
            <w:pPr>
              <w:rPr>
                <w:rFonts w:cstheme="minorHAnsi"/>
                <w:b/>
                <w:sz w:val="20"/>
                <w:szCs w:val="20"/>
                <w:lang w:val="en-US"/>
              </w:rPr>
            </w:pPr>
            <w:r w:rsidRPr="00543495">
              <w:rPr>
                <w:rFonts w:cstheme="minorHAnsi"/>
                <w:b/>
                <w:sz w:val="20"/>
                <w:szCs w:val="20"/>
                <w:lang w:val="en-US"/>
              </w:rPr>
              <w:t>Content to be reported</w:t>
            </w:r>
          </w:p>
        </w:tc>
        <w:tc>
          <w:tcPr>
            <w:tcW w:w="5103" w:type="dxa"/>
            <w:shd w:val="clear" w:color="auto" w:fill="D9D9D9" w:themeFill="background1" w:themeFillShade="D9"/>
          </w:tcPr>
          <w:p w14:paraId="244A0821" w14:textId="77777777" w:rsidR="00B35C81" w:rsidRPr="00543495" w:rsidRDefault="00B35C81" w:rsidP="00543495">
            <w:pPr>
              <w:rPr>
                <w:rFonts w:cstheme="minorHAnsi"/>
                <w:b/>
                <w:sz w:val="20"/>
                <w:szCs w:val="20"/>
                <w:lang w:val="en-US"/>
              </w:rPr>
            </w:pPr>
            <w:r w:rsidRPr="00543495">
              <w:rPr>
                <w:rFonts w:cstheme="minorHAnsi"/>
                <w:b/>
                <w:sz w:val="20"/>
                <w:szCs w:val="20"/>
                <w:lang w:val="en-US"/>
              </w:rPr>
              <w:t>Instructions/explanation</w:t>
            </w:r>
          </w:p>
        </w:tc>
        <w:tc>
          <w:tcPr>
            <w:tcW w:w="3827" w:type="dxa"/>
            <w:tcBorders>
              <w:bottom w:val="single" w:sz="6" w:space="0" w:color="auto"/>
            </w:tcBorders>
            <w:shd w:val="clear" w:color="auto" w:fill="D9D9D9" w:themeFill="background1" w:themeFillShade="D9"/>
          </w:tcPr>
          <w:p w14:paraId="4726B2A1" w14:textId="6B74D165" w:rsidR="00B35C81" w:rsidRPr="00543495" w:rsidRDefault="00B35C81" w:rsidP="00543495">
            <w:pPr>
              <w:rPr>
                <w:rFonts w:cstheme="minorHAnsi"/>
                <w:b/>
                <w:sz w:val="20"/>
                <w:szCs w:val="20"/>
                <w:lang w:val="en-US"/>
              </w:rPr>
            </w:pPr>
            <w:r w:rsidRPr="00543495">
              <w:rPr>
                <w:rFonts w:cstheme="minorHAnsi"/>
                <w:b/>
                <w:sz w:val="20"/>
                <w:szCs w:val="20"/>
                <w:lang w:val="en-US"/>
              </w:rPr>
              <w:t>Meta data</w:t>
            </w:r>
            <w:r w:rsidR="00543495">
              <w:rPr>
                <w:rFonts w:cstheme="minorHAnsi"/>
                <w:b/>
                <w:sz w:val="20"/>
                <w:szCs w:val="20"/>
                <w:lang w:val="en-US"/>
              </w:rPr>
              <w:br/>
            </w:r>
            <w:r w:rsidR="00543495">
              <w:rPr>
                <w:rFonts w:cstheme="minorHAnsi"/>
                <w:i/>
                <w:sz w:val="20"/>
                <w:szCs w:val="20"/>
                <w:lang w:val="en-US"/>
              </w:rPr>
              <w:t>(please fill in)</w:t>
            </w:r>
            <w:r w:rsidRPr="00543495">
              <w:rPr>
                <w:rFonts w:cstheme="minorHAnsi"/>
                <w:b/>
                <w:sz w:val="20"/>
                <w:szCs w:val="20"/>
                <w:lang w:val="en-US"/>
              </w:rPr>
              <w:t xml:space="preserve"> </w:t>
            </w:r>
          </w:p>
        </w:tc>
      </w:tr>
      <w:tr w:rsidR="00543495" w:rsidRPr="00D53F17" w14:paraId="3C8ED57A" w14:textId="77777777" w:rsidTr="004B54EC">
        <w:tc>
          <w:tcPr>
            <w:tcW w:w="1129" w:type="dxa"/>
            <w:shd w:val="clear" w:color="auto" w:fill="F2F2F2" w:themeFill="background1" w:themeFillShade="F2"/>
          </w:tcPr>
          <w:p w14:paraId="30C0A414" w14:textId="77777777" w:rsidR="00B35C81" w:rsidRPr="00543495" w:rsidRDefault="00B35C81" w:rsidP="00543495">
            <w:pPr>
              <w:rPr>
                <w:rFonts w:cstheme="minorHAnsi"/>
                <w:sz w:val="20"/>
                <w:szCs w:val="20"/>
                <w:lang w:val="en-US"/>
              </w:rPr>
            </w:pPr>
            <w:r w:rsidRPr="00543495">
              <w:rPr>
                <w:rFonts w:cstheme="minorHAnsi"/>
                <w:sz w:val="20"/>
                <w:szCs w:val="20"/>
                <w:lang w:val="en-US"/>
              </w:rPr>
              <w:t>Issuer LEI</w:t>
            </w:r>
          </w:p>
        </w:tc>
        <w:tc>
          <w:tcPr>
            <w:tcW w:w="3544" w:type="dxa"/>
            <w:shd w:val="clear" w:color="auto" w:fill="F2F2F2" w:themeFill="background1" w:themeFillShade="F2"/>
          </w:tcPr>
          <w:p w14:paraId="69635B7F" w14:textId="77777777" w:rsidR="00B35C81" w:rsidRPr="00543495" w:rsidRDefault="00B35C81" w:rsidP="00543495">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Legal Entity Identifier of the issuer</w:t>
            </w:r>
          </w:p>
        </w:tc>
        <w:tc>
          <w:tcPr>
            <w:tcW w:w="5103" w:type="dxa"/>
            <w:tcBorders>
              <w:right w:val="single" w:sz="6" w:space="0" w:color="auto"/>
            </w:tcBorders>
            <w:shd w:val="clear" w:color="auto" w:fill="F2F2F2" w:themeFill="background1" w:themeFillShade="F2"/>
          </w:tcPr>
          <w:p w14:paraId="23B9F4E0" w14:textId="1C8D6709" w:rsidR="00B35C81" w:rsidRPr="00543495" w:rsidRDefault="00B35C81" w:rsidP="00543495">
            <w:pPr>
              <w:rPr>
                <w:rFonts w:cstheme="minorHAnsi"/>
                <w:sz w:val="20"/>
                <w:szCs w:val="20"/>
                <w:lang w:val="en-US"/>
              </w:rPr>
            </w:pPr>
            <w:r w:rsidRPr="00543495">
              <w:rPr>
                <w:rFonts w:cstheme="minorHAnsi"/>
                <w:sz w:val="20"/>
                <w:szCs w:val="20"/>
                <w:lang w:val="en-US"/>
              </w:rPr>
              <w:t>In case of multiple</w:t>
            </w:r>
            <w:r w:rsidR="001B1FEF" w:rsidRPr="00543495">
              <w:rPr>
                <w:rFonts w:cstheme="minorHAnsi"/>
                <w:sz w:val="20"/>
                <w:szCs w:val="20"/>
                <w:lang w:val="en-US"/>
              </w:rPr>
              <w:t xml:space="preserve"> issuers please include </w:t>
            </w:r>
            <w:r w:rsidR="00221835">
              <w:rPr>
                <w:rFonts w:cstheme="minorHAnsi"/>
                <w:sz w:val="20"/>
                <w:szCs w:val="20"/>
                <w:lang w:val="en-US"/>
              </w:rPr>
              <w:t xml:space="preserve">the </w:t>
            </w:r>
            <w:r w:rsidR="001B1FEF" w:rsidRPr="00543495">
              <w:rPr>
                <w:rFonts w:cstheme="minorHAnsi"/>
                <w:sz w:val="20"/>
                <w:szCs w:val="20"/>
                <w:lang w:val="en-US"/>
              </w:rPr>
              <w:t>LEI of all issuers and indicate the issuers</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2FF3F1C5" w14:textId="77777777" w:rsidR="00B35C81" w:rsidRPr="00543495" w:rsidRDefault="00B35C81" w:rsidP="00543495">
            <w:pPr>
              <w:rPr>
                <w:rFonts w:cstheme="minorHAnsi"/>
                <w:sz w:val="20"/>
                <w:szCs w:val="20"/>
                <w:lang w:val="en-US"/>
              </w:rPr>
            </w:pPr>
          </w:p>
        </w:tc>
      </w:tr>
      <w:tr w:rsidR="00543495" w:rsidRPr="00D53F17" w14:paraId="6FBD45C6" w14:textId="77777777" w:rsidTr="004B54EC">
        <w:tc>
          <w:tcPr>
            <w:tcW w:w="1129" w:type="dxa"/>
            <w:shd w:val="clear" w:color="auto" w:fill="F2F2F2" w:themeFill="background1" w:themeFillShade="F2"/>
          </w:tcPr>
          <w:p w14:paraId="4EA08B07" w14:textId="77777777" w:rsidR="00B35C81" w:rsidRPr="00543495" w:rsidRDefault="001B1FEF" w:rsidP="00543495">
            <w:pPr>
              <w:rPr>
                <w:rFonts w:cstheme="minorHAnsi"/>
                <w:sz w:val="20"/>
                <w:szCs w:val="20"/>
                <w:lang w:val="en-US"/>
              </w:rPr>
            </w:pPr>
            <w:r w:rsidRPr="00543495">
              <w:rPr>
                <w:rFonts w:cstheme="minorHAnsi"/>
                <w:sz w:val="20"/>
                <w:szCs w:val="20"/>
                <w:lang w:val="en-US"/>
              </w:rPr>
              <w:t>Offeror LEI</w:t>
            </w:r>
          </w:p>
        </w:tc>
        <w:tc>
          <w:tcPr>
            <w:tcW w:w="3544" w:type="dxa"/>
            <w:shd w:val="clear" w:color="auto" w:fill="F2F2F2" w:themeFill="background1" w:themeFillShade="F2"/>
          </w:tcPr>
          <w:p w14:paraId="00025FFE" w14:textId="77777777" w:rsidR="00B35C81" w:rsidRPr="00543495" w:rsidRDefault="001B1FEF" w:rsidP="00543495">
            <w:pPr>
              <w:rPr>
                <w:rFonts w:cstheme="minorHAnsi"/>
                <w:sz w:val="20"/>
                <w:szCs w:val="20"/>
                <w:lang w:val="en-US"/>
              </w:rPr>
            </w:pPr>
            <w:r w:rsidRPr="00543495">
              <w:rPr>
                <w:rFonts w:eastAsia="Times New Roman" w:cstheme="minorHAnsi"/>
                <w:color w:val="000000"/>
                <w:sz w:val="20"/>
                <w:szCs w:val="20"/>
                <w:lang w:val="en-US" w:eastAsia="nl-NL"/>
              </w:rPr>
              <w:t>Legal Entity Identifier of the offeror</w:t>
            </w:r>
          </w:p>
        </w:tc>
        <w:tc>
          <w:tcPr>
            <w:tcW w:w="5103" w:type="dxa"/>
            <w:tcBorders>
              <w:right w:val="single" w:sz="6" w:space="0" w:color="auto"/>
            </w:tcBorders>
            <w:shd w:val="clear" w:color="auto" w:fill="F2F2F2" w:themeFill="background1" w:themeFillShade="F2"/>
          </w:tcPr>
          <w:p w14:paraId="76293B95" w14:textId="2D028898" w:rsidR="00B35C81" w:rsidRPr="00543495" w:rsidRDefault="001B1FEF" w:rsidP="00543495">
            <w:pPr>
              <w:rPr>
                <w:rFonts w:cstheme="minorHAnsi"/>
                <w:sz w:val="20"/>
                <w:szCs w:val="20"/>
                <w:lang w:val="en-US"/>
              </w:rPr>
            </w:pPr>
            <w:r w:rsidRPr="00543495">
              <w:rPr>
                <w:rFonts w:cstheme="minorHAnsi"/>
                <w:sz w:val="20"/>
                <w:szCs w:val="20"/>
                <w:lang w:val="en-US"/>
              </w:rPr>
              <w:t>In case of multiple offerors please include</w:t>
            </w:r>
            <w:r w:rsidR="00221835">
              <w:rPr>
                <w:rFonts w:cstheme="minorHAnsi"/>
                <w:sz w:val="20"/>
                <w:szCs w:val="20"/>
                <w:lang w:val="en-US"/>
              </w:rPr>
              <w:t xml:space="preserve"> the</w:t>
            </w:r>
            <w:r w:rsidRPr="00543495">
              <w:rPr>
                <w:rFonts w:cstheme="minorHAnsi"/>
                <w:sz w:val="20"/>
                <w:szCs w:val="20"/>
                <w:lang w:val="en-US"/>
              </w:rPr>
              <w:t xml:space="preserve"> LEI of all offerors and indicate the offerors</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26DFB8B2" w14:textId="77777777" w:rsidR="00B35C81" w:rsidRPr="00543495" w:rsidRDefault="00B35C81" w:rsidP="00543495">
            <w:pPr>
              <w:rPr>
                <w:rFonts w:cstheme="minorHAnsi"/>
                <w:sz w:val="20"/>
                <w:szCs w:val="20"/>
                <w:lang w:val="en-US"/>
              </w:rPr>
            </w:pPr>
          </w:p>
        </w:tc>
      </w:tr>
      <w:tr w:rsidR="00543495" w:rsidRPr="00D53F17" w14:paraId="09EEEF4F" w14:textId="77777777" w:rsidTr="004B54EC">
        <w:tc>
          <w:tcPr>
            <w:tcW w:w="1129" w:type="dxa"/>
            <w:shd w:val="clear" w:color="auto" w:fill="F2F2F2" w:themeFill="background1" w:themeFillShade="F2"/>
          </w:tcPr>
          <w:p w14:paraId="4B2AB736" w14:textId="77777777" w:rsidR="00B35C81" w:rsidRPr="00543495" w:rsidRDefault="001B1FEF" w:rsidP="00543495">
            <w:pPr>
              <w:rPr>
                <w:rFonts w:cstheme="minorHAnsi"/>
                <w:sz w:val="20"/>
                <w:szCs w:val="20"/>
                <w:lang w:val="en-US"/>
              </w:rPr>
            </w:pPr>
            <w:r w:rsidRPr="00543495">
              <w:rPr>
                <w:rFonts w:cstheme="minorHAnsi"/>
                <w:sz w:val="20"/>
                <w:szCs w:val="20"/>
                <w:lang w:val="en-US"/>
              </w:rPr>
              <w:t>Guarantor LEI</w:t>
            </w:r>
          </w:p>
        </w:tc>
        <w:tc>
          <w:tcPr>
            <w:tcW w:w="3544" w:type="dxa"/>
            <w:shd w:val="clear" w:color="auto" w:fill="F2F2F2" w:themeFill="background1" w:themeFillShade="F2"/>
          </w:tcPr>
          <w:p w14:paraId="40C37D3E" w14:textId="77777777" w:rsidR="00B35C81" w:rsidRPr="00543495" w:rsidRDefault="001B1FEF" w:rsidP="00543495">
            <w:pPr>
              <w:rPr>
                <w:rFonts w:cstheme="minorHAnsi"/>
                <w:sz w:val="20"/>
                <w:szCs w:val="20"/>
                <w:lang w:val="en-US"/>
              </w:rPr>
            </w:pPr>
            <w:r w:rsidRPr="00543495">
              <w:rPr>
                <w:rFonts w:eastAsia="Times New Roman" w:cstheme="minorHAnsi"/>
                <w:color w:val="000000"/>
                <w:sz w:val="20"/>
                <w:szCs w:val="20"/>
                <w:lang w:val="en-US" w:eastAsia="nl-NL"/>
              </w:rPr>
              <w:t>Legal Entity Identifier of the guarantor</w:t>
            </w:r>
          </w:p>
        </w:tc>
        <w:tc>
          <w:tcPr>
            <w:tcW w:w="5103" w:type="dxa"/>
            <w:tcBorders>
              <w:right w:val="single" w:sz="6" w:space="0" w:color="auto"/>
            </w:tcBorders>
            <w:shd w:val="clear" w:color="auto" w:fill="F2F2F2" w:themeFill="background1" w:themeFillShade="F2"/>
          </w:tcPr>
          <w:p w14:paraId="26A87935" w14:textId="00730DA5" w:rsidR="00B35C81" w:rsidRPr="00543495" w:rsidRDefault="001B1FEF" w:rsidP="00543495">
            <w:pPr>
              <w:rPr>
                <w:rFonts w:cstheme="minorHAnsi"/>
                <w:sz w:val="20"/>
                <w:szCs w:val="20"/>
                <w:lang w:val="en-US"/>
              </w:rPr>
            </w:pPr>
            <w:r w:rsidRPr="00543495">
              <w:rPr>
                <w:rFonts w:cstheme="minorHAnsi"/>
                <w:sz w:val="20"/>
                <w:szCs w:val="20"/>
                <w:lang w:val="en-US"/>
              </w:rPr>
              <w:t xml:space="preserve">In case of multiple </w:t>
            </w:r>
            <w:r w:rsidRPr="00543495">
              <w:rPr>
                <w:rFonts w:eastAsia="Times New Roman" w:cstheme="minorHAnsi"/>
                <w:color w:val="000000"/>
                <w:sz w:val="20"/>
                <w:szCs w:val="20"/>
                <w:lang w:val="en-US" w:eastAsia="nl-NL"/>
              </w:rPr>
              <w:t>guaranto</w:t>
            </w:r>
            <w:r w:rsidRPr="00543495">
              <w:rPr>
                <w:rFonts w:cstheme="minorHAnsi"/>
                <w:sz w:val="20"/>
                <w:szCs w:val="20"/>
                <w:lang w:val="en-US"/>
              </w:rPr>
              <w:t>rs please include</w:t>
            </w:r>
            <w:r w:rsidR="00221835">
              <w:rPr>
                <w:rFonts w:cstheme="minorHAnsi"/>
                <w:sz w:val="20"/>
                <w:szCs w:val="20"/>
                <w:lang w:val="en-US"/>
              </w:rPr>
              <w:t xml:space="preserve"> the</w:t>
            </w:r>
            <w:r w:rsidRPr="00543495">
              <w:rPr>
                <w:rFonts w:cstheme="minorHAnsi"/>
                <w:sz w:val="20"/>
                <w:szCs w:val="20"/>
                <w:lang w:val="en-US"/>
              </w:rPr>
              <w:t xml:space="preserve"> LEI of all </w:t>
            </w:r>
            <w:r w:rsidRPr="00543495">
              <w:rPr>
                <w:rFonts w:eastAsia="Times New Roman" w:cstheme="minorHAnsi"/>
                <w:color w:val="000000"/>
                <w:sz w:val="20"/>
                <w:szCs w:val="20"/>
                <w:lang w:val="en-US" w:eastAsia="nl-NL"/>
              </w:rPr>
              <w:t>guaranto</w:t>
            </w:r>
            <w:r w:rsidRPr="00543495">
              <w:rPr>
                <w:rFonts w:cstheme="minorHAnsi"/>
                <w:sz w:val="20"/>
                <w:szCs w:val="20"/>
                <w:lang w:val="en-US"/>
              </w:rPr>
              <w:t xml:space="preserve">rs and indicate the </w:t>
            </w:r>
            <w:r w:rsidRPr="00543495">
              <w:rPr>
                <w:rFonts w:eastAsia="Times New Roman" w:cstheme="minorHAnsi"/>
                <w:color w:val="000000"/>
                <w:sz w:val="20"/>
                <w:szCs w:val="20"/>
                <w:lang w:val="en-US" w:eastAsia="nl-NL"/>
              </w:rPr>
              <w:t>guaranto</w:t>
            </w:r>
            <w:r w:rsidRPr="00543495">
              <w:rPr>
                <w:rFonts w:cstheme="minorHAnsi"/>
                <w:sz w:val="20"/>
                <w:szCs w:val="20"/>
                <w:lang w:val="en-US"/>
              </w:rPr>
              <w:t>rs</w:t>
            </w:r>
          </w:p>
        </w:tc>
        <w:tc>
          <w:tcPr>
            <w:tcW w:w="3827" w:type="dxa"/>
            <w:tcBorders>
              <w:top w:val="single" w:sz="6" w:space="0" w:color="auto"/>
              <w:left w:val="single" w:sz="6" w:space="0" w:color="auto"/>
              <w:bottom w:val="single" w:sz="6" w:space="0" w:color="auto"/>
              <w:right w:val="single" w:sz="6" w:space="0" w:color="auto"/>
            </w:tcBorders>
            <w:shd w:val="clear" w:color="auto" w:fill="auto"/>
          </w:tcPr>
          <w:p w14:paraId="283EBD3F" w14:textId="77777777" w:rsidR="00B35C81" w:rsidRPr="00543495" w:rsidRDefault="00B35C81" w:rsidP="00543495">
            <w:pPr>
              <w:rPr>
                <w:rFonts w:cstheme="minorHAnsi"/>
                <w:sz w:val="20"/>
                <w:szCs w:val="20"/>
                <w:lang w:val="en-US"/>
              </w:rPr>
            </w:pPr>
          </w:p>
        </w:tc>
      </w:tr>
    </w:tbl>
    <w:p w14:paraId="3A119771" w14:textId="1EF47452" w:rsidR="005E39BA" w:rsidRDefault="005E39BA">
      <w:pPr>
        <w:rPr>
          <w:rFonts w:cstheme="minorHAnsi"/>
          <w:sz w:val="20"/>
          <w:szCs w:val="20"/>
          <w:lang w:val="en-US"/>
        </w:rPr>
      </w:pPr>
    </w:p>
    <w:p w14:paraId="231F362C" w14:textId="77777777" w:rsidR="00385CDE" w:rsidRDefault="00385CDE">
      <w:pPr>
        <w:rPr>
          <w:rFonts w:cstheme="minorHAnsi"/>
          <w:sz w:val="20"/>
          <w:szCs w:val="20"/>
          <w:lang w:val="en-US"/>
        </w:rPr>
      </w:pPr>
    </w:p>
    <w:tbl>
      <w:tblPr>
        <w:tblStyle w:val="Tabelraster"/>
        <w:tblW w:w="13603" w:type="dxa"/>
        <w:shd w:val="clear" w:color="auto" w:fill="D9D9D9" w:themeFill="background1" w:themeFillShade="D9"/>
        <w:tblLayout w:type="fixed"/>
        <w:tblLook w:val="04A0" w:firstRow="1" w:lastRow="0" w:firstColumn="1" w:lastColumn="0" w:noHBand="0" w:noVBand="1"/>
      </w:tblPr>
      <w:tblGrid>
        <w:gridCol w:w="1129"/>
        <w:gridCol w:w="3402"/>
        <w:gridCol w:w="5529"/>
        <w:gridCol w:w="3543"/>
      </w:tblGrid>
      <w:tr w:rsidR="00543495" w:rsidRPr="00D53F17" w14:paraId="3ADDF992" w14:textId="77777777" w:rsidTr="004B54EC">
        <w:trPr>
          <w:tblHeader/>
        </w:trPr>
        <w:tc>
          <w:tcPr>
            <w:tcW w:w="13603" w:type="dxa"/>
            <w:gridSpan w:val="4"/>
            <w:shd w:val="clear" w:color="auto" w:fill="D9D9D9" w:themeFill="background1" w:themeFillShade="D9"/>
          </w:tcPr>
          <w:p w14:paraId="2E883820" w14:textId="6E104C98" w:rsidR="00543495" w:rsidRPr="00385CDE" w:rsidRDefault="00543495" w:rsidP="00543495">
            <w:pPr>
              <w:rPr>
                <w:rFonts w:cstheme="minorHAnsi"/>
                <w:i/>
                <w:sz w:val="20"/>
                <w:szCs w:val="20"/>
                <w:lang w:val="en-US"/>
              </w:rPr>
            </w:pPr>
            <w:r>
              <w:rPr>
                <w:rFonts w:cstheme="minorHAnsi"/>
                <w:b/>
                <w:sz w:val="20"/>
                <w:szCs w:val="20"/>
                <w:lang w:val="en-US"/>
              </w:rPr>
              <w:lastRenderedPageBreak/>
              <w:t>Table 3</w:t>
            </w:r>
            <w:r w:rsidRPr="00543495">
              <w:rPr>
                <w:rFonts w:cstheme="minorHAnsi"/>
                <w:b/>
                <w:sz w:val="20"/>
                <w:szCs w:val="20"/>
                <w:lang w:val="en-US"/>
              </w:rPr>
              <w:t xml:space="preserve">: Machine readable data regarding the </w:t>
            </w:r>
            <w:r>
              <w:rPr>
                <w:rFonts w:cstheme="minorHAnsi"/>
                <w:b/>
                <w:sz w:val="20"/>
                <w:szCs w:val="20"/>
                <w:lang w:val="en-US"/>
              </w:rPr>
              <w:t>security</w:t>
            </w:r>
            <w:r w:rsidR="00385CDE">
              <w:rPr>
                <w:rFonts w:cstheme="minorHAnsi"/>
                <w:b/>
                <w:sz w:val="20"/>
                <w:szCs w:val="20"/>
                <w:lang w:val="en-US"/>
              </w:rPr>
              <w:t xml:space="preserve"> </w:t>
            </w:r>
            <w:r w:rsidR="00385CDE">
              <w:rPr>
                <w:rFonts w:cstheme="minorHAnsi"/>
                <w:i/>
                <w:sz w:val="20"/>
                <w:szCs w:val="20"/>
                <w:lang w:val="en-US"/>
              </w:rPr>
              <w:t>(in case of multiple securities with different ISIN please copy and paste this table as many times as necessary)</w:t>
            </w:r>
          </w:p>
        </w:tc>
      </w:tr>
      <w:tr w:rsidR="00543495" w:rsidRPr="00D53F17" w14:paraId="1F048F44" w14:textId="77777777" w:rsidTr="00535F3D">
        <w:trPr>
          <w:tblHeader/>
        </w:trPr>
        <w:tc>
          <w:tcPr>
            <w:tcW w:w="1129" w:type="dxa"/>
            <w:tcBorders>
              <w:bottom w:val="single" w:sz="4" w:space="0" w:color="auto"/>
            </w:tcBorders>
            <w:shd w:val="clear" w:color="auto" w:fill="D9D9D9" w:themeFill="background1" w:themeFillShade="D9"/>
          </w:tcPr>
          <w:p w14:paraId="70BC2DA1" w14:textId="77777777" w:rsidR="00543495" w:rsidRPr="00543495" w:rsidRDefault="00543495" w:rsidP="00BE2A65">
            <w:pPr>
              <w:rPr>
                <w:rFonts w:cstheme="minorHAnsi"/>
                <w:b/>
                <w:sz w:val="20"/>
                <w:szCs w:val="20"/>
                <w:lang w:val="en-US"/>
              </w:rPr>
            </w:pPr>
            <w:r w:rsidRPr="00543495">
              <w:rPr>
                <w:rFonts w:cstheme="minorHAnsi"/>
                <w:b/>
                <w:sz w:val="20"/>
                <w:szCs w:val="20"/>
                <w:lang w:val="en-US"/>
              </w:rPr>
              <w:t>Field</w:t>
            </w:r>
          </w:p>
        </w:tc>
        <w:tc>
          <w:tcPr>
            <w:tcW w:w="3402" w:type="dxa"/>
            <w:tcBorders>
              <w:bottom w:val="single" w:sz="4" w:space="0" w:color="auto"/>
            </w:tcBorders>
            <w:shd w:val="clear" w:color="auto" w:fill="D9D9D9" w:themeFill="background1" w:themeFillShade="D9"/>
          </w:tcPr>
          <w:p w14:paraId="7E2F6049" w14:textId="77777777" w:rsidR="00543495" w:rsidRPr="00543495" w:rsidRDefault="00543495" w:rsidP="00BE2A65">
            <w:pPr>
              <w:rPr>
                <w:rFonts w:cstheme="minorHAnsi"/>
                <w:b/>
                <w:sz w:val="20"/>
                <w:szCs w:val="20"/>
                <w:lang w:val="en-US"/>
              </w:rPr>
            </w:pPr>
            <w:r w:rsidRPr="00543495">
              <w:rPr>
                <w:rFonts w:cstheme="minorHAnsi"/>
                <w:b/>
                <w:sz w:val="20"/>
                <w:szCs w:val="20"/>
                <w:lang w:val="en-US"/>
              </w:rPr>
              <w:t>Content to be reported</w:t>
            </w:r>
          </w:p>
        </w:tc>
        <w:tc>
          <w:tcPr>
            <w:tcW w:w="5529" w:type="dxa"/>
            <w:tcBorders>
              <w:bottom w:val="single" w:sz="4" w:space="0" w:color="auto"/>
            </w:tcBorders>
            <w:shd w:val="clear" w:color="auto" w:fill="D9D9D9" w:themeFill="background1" w:themeFillShade="D9"/>
          </w:tcPr>
          <w:p w14:paraId="7A8DD8D0" w14:textId="77777777" w:rsidR="00543495" w:rsidRPr="00543495" w:rsidRDefault="00543495" w:rsidP="00BE2A65">
            <w:pPr>
              <w:rPr>
                <w:rFonts w:cstheme="minorHAnsi"/>
                <w:b/>
                <w:sz w:val="20"/>
                <w:szCs w:val="20"/>
                <w:lang w:val="en-US"/>
              </w:rPr>
            </w:pPr>
            <w:r w:rsidRPr="00543495">
              <w:rPr>
                <w:rFonts w:cstheme="minorHAnsi"/>
                <w:b/>
                <w:sz w:val="20"/>
                <w:szCs w:val="20"/>
                <w:lang w:val="en-US"/>
              </w:rPr>
              <w:t>Instructions/explanation</w:t>
            </w:r>
          </w:p>
        </w:tc>
        <w:tc>
          <w:tcPr>
            <w:tcW w:w="3543" w:type="dxa"/>
            <w:tcBorders>
              <w:bottom w:val="single" w:sz="4" w:space="0" w:color="auto"/>
            </w:tcBorders>
            <w:shd w:val="clear" w:color="auto" w:fill="D9D9D9" w:themeFill="background1" w:themeFillShade="D9"/>
          </w:tcPr>
          <w:p w14:paraId="2EC38CFD" w14:textId="77777777" w:rsidR="00543495" w:rsidRPr="00543495" w:rsidRDefault="00543495" w:rsidP="00BE2A65">
            <w:pPr>
              <w:rPr>
                <w:rFonts w:cstheme="minorHAnsi"/>
                <w:b/>
                <w:sz w:val="20"/>
                <w:szCs w:val="20"/>
                <w:lang w:val="en-US"/>
              </w:rPr>
            </w:pPr>
            <w:r w:rsidRPr="00543495">
              <w:rPr>
                <w:rFonts w:cstheme="minorHAnsi"/>
                <w:b/>
                <w:sz w:val="20"/>
                <w:szCs w:val="20"/>
                <w:lang w:val="en-US"/>
              </w:rPr>
              <w:t>Meta data</w:t>
            </w:r>
            <w:r>
              <w:rPr>
                <w:rFonts w:cstheme="minorHAnsi"/>
                <w:b/>
                <w:sz w:val="20"/>
                <w:szCs w:val="20"/>
                <w:lang w:val="en-US"/>
              </w:rPr>
              <w:br/>
            </w:r>
            <w:r>
              <w:rPr>
                <w:rFonts w:cstheme="minorHAnsi"/>
                <w:i/>
                <w:sz w:val="20"/>
                <w:szCs w:val="20"/>
                <w:lang w:val="en-US"/>
              </w:rPr>
              <w:t>(please fill in)</w:t>
            </w:r>
            <w:r w:rsidRPr="00543495">
              <w:rPr>
                <w:rFonts w:cstheme="minorHAnsi"/>
                <w:b/>
                <w:sz w:val="20"/>
                <w:szCs w:val="20"/>
                <w:lang w:val="en-US"/>
              </w:rPr>
              <w:t xml:space="preserve"> </w:t>
            </w:r>
          </w:p>
        </w:tc>
      </w:tr>
      <w:tr w:rsidR="00543495" w:rsidRPr="00D53F17" w14:paraId="4FEF026D" w14:textId="77777777" w:rsidTr="00535F3D">
        <w:tc>
          <w:tcPr>
            <w:tcW w:w="1129" w:type="dxa"/>
            <w:tcBorders>
              <w:top w:val="single" w:sz="4" w:space="0" w:color="auto"/>
              <w:bottom w:val="single" w:sz="4" w:space="0" w:color="auto"/>
              <w:right w:val="single" w:sz="4" w:space="0" w:color="auto"/>
            </w:tcBorders>
            <w:shd w:val="clear" w:color="auto" w:fill="F2F2F2" w:themeFill="background1" w:themeFillShade="F2"/>
          </w:tcPr>
          <w:p w14:paraId="0378EBF0" w14:textId="77777777" w:rsidR="00543495" w:rsidRPr="00543495" w:rsidRDefault="00543495" w:rsidP="00BE2A65">
            <w:pPr>
              <w:rPr>
                <w:rFonts w:cstheme="minorHAnsi"/>
                <w:sz w:val="20"/>
                <w:szCs w:val="20"/>
                <w:lang w:val="en-US"/>
              </w:rPr>
            </w:pPr>
            <w:r w:rsidRPr="00543495">
              <w:rPr>
                <w:rFonts w:cstheme="minorHAnsi"/>
                <w:sz w:val="20"/>
                <w:szCs w:val="20"/>
                <w:lang w:val="en-US"/>
              </w:rPr>
              <w:t>ISIN</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011FB" w14:textId="1B85607F" w:rsidR="00543495" w:rsidRPr="00543495" w:rsidRDefault="00543495" w:rsidP="00BE2A65">
            <w:pPr>
              <w:rPr>
                <w:rFonts w:cstheme="minorHAnsi"/>
                <w:sz w:val="20"/>
                <w:szCs w:val="20"/>
                <w:lang w:val="en-US"/>
              </w:rPr>
            </w:pPr>
            <w:r w:rsidRPr="00543495">
              <w:rPr>
                <w:rFonts w:cstheme="minorHAnsi"/>
                <w:sz w:val="20"/>
                <w:szCs w:val="20"/>
                <w:lang w:val="en-US"/>
              </w:rPr>
              <w:t>International Securities Identification Number</w:t>
            </w:r>
            <w:r w:rsidR="005E75B2">
              <w:rPr>
                <w:rFonts w:cstheme="minorHAnsi"/>
                <w:sz w:val="20"/>
                <w:szCs w:val="20"/>
                <w:lang w:val="en-US"/>
              </w:rPr>
              <w:t xml:space="preserve"> of the security</w:t>
            </w: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EA214" w14:textId="77777777" w:rsidR="00543495" w:rsidRPr="00543495" w:rsidRDefault="00543495" w:rsidP="00BE2A65">
            <w:pPr>
              <w:rPr>
                <w:rFonts w:cstheme="minorHAnsi"/>
                <w:sz w:val="20"/>
                <w:szCs w:val="20"/>
                <w:lang w:val="en-US"/>
              </w:rPr>
            </w:pPr>
            <w:r w:rsidRPr="00543495">
              <w:rPr>
                <w:rFonts w:cstheme="minorHAnsi"/>
                <w:color w:val="000000"/>
                <w:sz w:val="20"/>
                <w:szCs w:val="20"/>
                <w:lang w:val="en-US"/>
              </w:rPr>
              <w:t>ISIN code, as defined in ISO 6166</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E5C8F37" w14:textId="77777777" w:rsidR="00543495" w:rsidRPr="00543495" w:rsidRDefault="00543495" w:rsidP="00BE2A65">
            <w:pPr>
              <w:rPr>
                <w:rFonts w:cstheme="minorHAnsi"/>
                <w:sz w:val="20"/>
                <w:szCs w:val="20"/>
                <w:lang w:val="en-US"/>
              </w:rPr>
            </w:pPr>
          </w:p>
        </w:tc>
      </w:tr>
      <w:tr w:rsidR="00385CDE" w:rsidRPr="00D53F17" w14:paraId="53793A32" w14:textId="77777777" w:rsidTr="00535F3D">
        <w:tc>
          <w:tcPr>
            <w:tcW w:w="1129" w:type="dxa"/>
            <w:tcBorders>
              <w:top w:val="single" w:sz="4" w:space="0" w:color="auto"/>
              <w:bottom w:val="single" w:sz="4" w:space="0" w:color="auto"/>
              <w:right w:val="single" w:sz="4" w:space="0" w:color="auto"/>
            </w:tcBorders>
            <w:shd w:val="clear" w:color="auto" w:fill="F2F2F2" w:themeFill="background1" w:themeFillShade="F2"/>
          </w:tcPr>
          <w:p w14:paraId="0890E446" w14:textId="3B0AF07E" w:rsidR="00385CDE" w:rsidRPr="00543495" w:rsidRDefault="00385CDE" w:rsidP="00385CDE">
            <w:pPr>
              <w:rPr>
                <w:rFonts w:cstheme="minorHAnsi"/>
                <w:sz w:val="20"/>
                <w:szCs w:val="20"/>
                <w:lang w:val="en-US"/>
              </w:rPr>
            </w:pPr>
            <w:r w:rsidRPr="00543495">
              <w:rPr>
                <w:rFonts w:cstheme="minorHAnsi"/>
                <w:sz w:val="20"/>
                <w:szCs w:val="20"/>
                <w:lang w:val="en-US"/>
              </w:rPr>
              <w:t>FISN</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92013C" w14:textId="251BC37C" w:rsidR="00385CDE" w:rsidRPr="00543495" w:rsidRDefault="00385CDE" w:rsidP="00385CDE">
            <w:pPr>
              <w:rPr>
                <w:rFonts w:cstheme="minorHAnsi"/>
                <w:sz w:val="20"/>
                <w:szCs w:val="20"/>
                <w:lang w:val="en-US"/>
              </w:rPr>
            </w:pPr>
            <w:r w:rsidRPr="00543495">
              <w:rPr>
                <w:rFonts w:cstheme="minorHAnsi"/>
                <w:sz w:val="20"/>
                <w:szCs w:val="20"/>
                <w:lang w:val="en-US"/>
              </w:rPr>
              <w:t>Financial Instrument Short Name of the security</w:t>
            </w: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46304B" w14:textId="1B2DE755" w:rsidR="00385CDE" w:rsidRPr="00543495" w:rsidRDefault="00385CDE" w:rsidP="00221835">
            <w:pPr>
              <w:rPr>
                <w:rFonts w:cstheme="minorHAnsi"/>
                <w:color w:val="000000"/>
                <w:sz w:val="20"/>
                <w:szCs w:val="20"/>
                <w:lang w:val="en-US"/>
              </w:rPr>
            </w:pPr>
            <w:r w:rsidRPr="00543495">
              <w:rPr>
                <w:rFonts w:cstheme="minorHAnsi"/>
                <w:sz w:val="20"/>
                <w:szCs w:val="20"/>
                <w:lang w:val="en-US"/>
              </w:rPr>
              <w:t xml:space="preserve">The FISN </w:t>
            </w:r>
            <w:r w:rsidRPr="00543495">
              <w:rPr>
                <w:rFonts w:cstheme="minorHAnsi"/>
                <w:color w:val="000000"/>
                <w:sz w:val="20"/>
                <w:szCs w:val="20"/>
                <w:lang w:val="en-US"/>
              </w:rPr>
              <w:t xml:space="preserve">as defined in ISO 18774 is a </w:t>
            </w:r>
            <w:proofErr w:type="gramStart"/>
            <w:r w:rsidRPr="00543495">
              <w:rPr>
                <w:rFonts w:cstheme="minorHAnsi"/>
                <w:color w:val="000000"/>
                <w:sz w:val="20"/>
                <w:szCs w:val="20"/>
                <w:lang w:val="en-US"/>
              </w:rPr>
              <w:t xml:space="preserve">35 </w:t>
            </w:r>
            <w:r w:rsidR="00221835">
              <w:rPr>
                <w:rFonts w:cstheme="minorHAnsi"/>
                <w:color w:val="000000"/>
                <w:sz w:val="20"/>
                <w:szCs w:val="20"/>
                <w:lang w:val="en-US"/>
              </w:rPr>
              <w:t>character</w:t>
            </w:r>
            <w:proofErr w:type="gramEnd"/>
            <w:r w:rsidR="00221835">
              <w:rPr>
                <w:rFonts w:cstheme="minorHAnsi"/>
                <w:color w:val="000000"/>
                <w:sz w:val="20"/>
                <w:szCs w:val="20"/>
                <w:lang w:val="en-US"/>
              </w:rPr>
              <w:t xml:space="preserve"> </w:t>
            </w:r>
            <w:r w:rsidRPr="00543495">
              <w:rPr>
                <w:rFonts w:cstheme="minorHAnsi"/>
                <w:color w:val="000000"/>
                <w:sz w:val="20"/>
                <w:szCs w:val="20"/>
                <w:lang w:val="en-US"/>
              </w:rPr>
              <w:t>alphanumerical code and must be provided</w:t>
            </w:r>
            <w:r w:rsidR="005E75B2">
              <w:rPr>
                <w:rFonts w:cstheme="minorHAnsi"/>
                <w:color w:val="000000"/>
                <w:sz w:val="20"/>
                <w:szCs w:val="20"/>
                <w:lang w:val="en-US"/>
              </w:rPr>
              <w:t xml:space="preserve"> for the security</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B76A63" w14:textId="77777777" w:rsidR="00385CDE" w:rsidRPr="00543495" w:rsidRDefault="00385CDE" w:rsidP="00385CDE">
            <w:pPr>
              <w:rPr>
                <w:rFonts w:cstheme="minorHAnsi"/>
                <w:sz w:val="20"/>
                <w:szCs w:val="20"/>
                <w:lang w:val="en-US"/>
              </w:rPr>
            </w:pPr>
          </w:p>
        </w:tc>
      </w:tr>
      <w:tr w:rsidR="00385CDE" w:rsidRPr="00D53F17" w14:paraId="52B93168" w14:textId="77777777" w:rsidTr="00535F3D">
        <w:tc>
          <w:tcPr>
            <w:tcW w:w="1129" w:type="dxa"/>
            <w:tcBorders>
              <w:top w:val="single" w:sz="4" w:space="0" w:color="auto"/>
              <w:bottom w:val="single" w:sz="4" w:space="0" w:color="auto"/>
              <w:right w:val="single" w:sz="4" w:space="0" w:color="auto"/>
            </w:tcBorders>
            <w:shd w:val="clear" w:color="auto" w:fill="F2F2F2" w:themeFill="background1" w:themeFillShade="F2"/>
          </w:tcPr>
          <w:p w14:paraId="1F3CFA73" w14:textId="77777777" w:rsidR="00385CDE" w:rsidRPr="00543495" w:rsidRDefault="00385CDE" w:rsidP="00385CDE">
            <w:pPr>
              <w:spacing w:before="60" w:after="60"/>
              <w:rPr>
                <w:rFonts w:eastAsia="Times New Roman" w:cstheme="minorHAnsi"/>
                <w:color w:val="000000"/>
                <w:sz w:val="20"/>
                <w:szCs w:val="20"/>
                <w:lang w:eastAsia="nl-NL"/>
              </w:rPr>
            </w:pPr>
            <w:r w:rsidRPr="00543495">
              <w:rPr>
                <w:rFonts w:eastAsia="Times New Roman" w:cstheme="minorHAnsi"/>
                <w:color w:val="000000"/>
                <w:sz w:val="20"/>
                <w:szCs w:val="20"/>
                <w:lang w:eastAsia="nl-NL"/>
              </w:rPr>
              <w:t>CFI</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FF6AFD" w14:textId="2E0531AB" w:rsidR="00385CDE" w:rsidRPr="00543495" w:rsidRDefault="00385CDE" w:rsidP="00385CD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Classification of Financial Instrument code</w:t>
            </w: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B868D2" w14:textId="521D016F" w:rsidR="00385CDE" w:rsidRPr="00543495" w:rsidRDefault="00385CDE" w:rsidP="00385CDE">
            <w:pPr>
              <w:rPr>
                <w:rFonts w:cstheme="minorHAnsi"/>
                <w:sz w:val="20"/>
                <w:szCs w:val="20"/>
                <w:lang w:val="en-US"/>
              </w:rPr>
            </w:pPr>
            <w:r w:rsidRPr="00543495">
              <w:rPr>
                <w:rFonts w:eastAsia="Times New Roman" w:cstheme="minorHAnsi"/>
                <w:color w:val="000000"/>
                <w:sz w:val="20"/>
                <w:szCs w:val="20"/>
                <w:lang w:val="en-US" w:eastAsia="nl-NL"/>
              </w:rPr>
              <w:t>The CFI code</w:t>
            </w:r>
            <w:r>
              <w:rPr>
                <w:rFonts w:eastAsia="Times New Roman" w:cstheme="minorHAnsi"/>
                <w:color w:val="000000"/>
                <w:sz w:val="20"/>
                <w:szCs w:val="20"/>
                <w:lang w:val="en-US" w:eastAsia="nl-NL"/>
              </w:rPr>
              <w:t xml:space="preserve"> (a code of 6 characters)</w:t>
            </w:r>
            <w:r w:rsidRPr="00543495">
              <w:rPr>
                <w:rFonts w:eastAsia="Times New Roman" w:cstheme="minorHAnsi"/>
                <w:color w:val="000000"/>
                <w:sz w:val="20"/>
                <w:szCs w:val="20"/>
                <w:lang w:val="en-US" w:eastAsia="nl-NL"/>
              </w:rPr>
              <w:t>, as defined in ISO 10962</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999F782" w14:textId="77777777" w:rsidR="00385CDE" w:rsidRPr="00543495" w:rsidRDefault="00385CDE" w:rsidP="00385CDE">
            <w:pPr>
              <w:rPr>
                <w:rFonts w:cstheme="minorHAnsi"/>
                <w:sz w:val="20"/>
                <w:szCs w:val="20"/>
                <w:lang w:val="en-US"/>
              </w:rPr>
            </w:pPr>
          </w:p>
        </w:tc>
      </w:tr>
      <w:tr w:rsidR="00385CDE" w:rsidRPr="00D53F17" w14:paraId="7E1FA4DB" w14:textId="77777777" w:rsidTr="00535F3D">
        <w:tc>
          <w:tcPr>
            <w:tcW w:w="1129" w:type="dxa"/>
            <w:tcBorders>
              <w:top w:val="single" w:sz="4" w:space="0" w:color="auto"/>
              <w:bottom w:val="single" w:sz="4" w:space="0" w:color="auto"/>
              <w:right w:val="single" w:sz="4" w:space="0" w:color="auto"/>
            </w:tcBorders>
            <w:shd w:val="clear" w:color="auto" w:fill="F2F2F2" w:themeFill="background1" w:themeFillShade="F2"/>
          </w:tcPr>
          <w:p w14:paraId="25A9544D" w14:textId="77777777" w:rsidR="00385CDE" w:rsidRPr="00543495" w:rsidRDefault="00385CDE" w:rsidP="00385CDE">
            <w:pPr>
              <w:spacing w:before="60" w:after="60"/>
              <w:rPr>
                <w:rFonts w:eastAsia="Times New Roman" w:cstheme="minorHAnsi"/>
                <w:color w:val="000000"/>
                <w:sz w:val="20"/>
                <w:szCs w:val="20"/>
                <w:lang w:eastAsia="nl-NL"/>
              </w:rPr>
            </w:pPr>
            <w:proofErr w:type="spellStart"/>
            <w:r w:rsidRPr="00543495">
              <w:rPr>
                <w:rFonts w:eastAsia="Times New Roman" w:cstheme="minorHAnsi"/>
                <w:color w:val="000000"/>
                <w:sz w:val="20"/>
                <w:szCs w:val="20"/>
                <w:lang w:eastAsia="nl-NL"/>
              </w:rPr>
              <w:t>Issuance</w:t>
            </w:r>
            <w:proofErr w:type="spellEnd"/>
            <w:r w:rsidRPr="00543495">
              <w:rPr>
                <w:rFonts w:eastAsia="Times New Roman" w:cstheme="minorHAnsi"/>
                <w:color w:val="000000"/>
                <w:sz w:val="20"/>
                <w:szCs w:val="20"/>
                <w:lang w:eastAsia="nl-NL"/>
              </w:rPr>
              <w:t xml:space="preserve"> </w:t>
            </w:r>
            <w:proofErr w:type="spellStart"/>
            <w:r w:rsidRPr="00543495">
              <w:rPr>
                <w:rFonts w:eastAsia="Times New Roman" w:cstheme="minorHAnsi"/>
                <w:color w:val="000000"/>
                <w:sz w:val="20"/>
                <w:szCs w:val="20"/>
                <w:lang w:eastAsia="nl-NL"/>
              </w:rPr>
              <w:t>currency</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023E2A" w14:textId="569F1EE5" w:rsidR="00385CDE" w:rsidRPr="00543495" w:rsidRDefault="00385CDE" w:rsidP="00385CD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Code representing the currency in which the nominal or notional value is denominated</w:t>
            </w: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7A2DB" w14:textId="623DCAD2" w:rsidR="00385CDE" w:rsidRDefault="00221835" w:rsidP="00385CDE">
            <w:pPr>
              <w:rPr>
                <w:rFonts w:cstheme="minorHAnsi"/>
                <w:sz w:val="20"/>
                <w:szCs w:val="20"/>
                <w:lang w:val="en-US"/>
              </w:rPr>
            </w:pPr>
            <w:r>
              <w:rPr>
                <w:rFonts w:cstheme="minorHAnsi"/>
                <w:sz w:val="20"/>
                <w:szCs w:val="20"/>
                <w:lang w:val="en-US"/>
              </w:rPr>
              <w:t>The alphabetical currency code of 3 characters</w:t>
            </w:r>
            <w:r w:rsidR="00385CDE" w:rsidRPr="00543495">
              <w:rPr>
                <w:rFonts w:cstheme="minorHAnsi"/>
                <w:sz w:val="20"/>
                <w:szCs w:val="20"/>
                <w:lang w:val="en-US"/>
              </w:rPr>
              <w:t xml:space="preserve">, as defined in ISO </w:t>
            </w:r>
            <w:proofErr w:type="gramStart"/>
            <w:r w:rsidR="00385CDE" w:rsidRPr="00543495">
              <w:rPr>
                <w:rFonts w:cstheme="minorHAnsi"/>
                <w:sz w:val="20"/>
                <w:szCs w:val="20"/>
                <w:lang w:val="en-US"/>
              </w:rPr>
              <w:t>4217</w:t>
            </w:r>
            <w:proofErr w:type="gramEnd"/>
          </w:p>
          <w:p w14:paraId="042F2273" w14:textId="6C86C5FF" w:rsidR="00221835" w:rsidRDefault="00221835" w:rsidP="00385CDE">
            <w:pPr>
              <w:rPr>
                <w:rFonts w:cstheme="minorHAnsi"/>
                <w:sz w:val="20"/>
                <w:szCs w:val="20"/>
                <w:lang w:val="en-US"/>
              </w:rPr>
            </w:pPr>
          </w:p>
          <w:p w14:paraId="0966BEED" w14:textId="14B98383" w:rsidR="00221835" w:rsidRPr="00543495" w:rsidRDefault="00221835" w:rsidP="00385CDE">
            <w:pPr>
              <w:rPr>
                <w:rFonts w:cstheme="minorHAnsi"/>
                <w:sz w:val="20"/>
                <w:szCs w:val="20"/>
                <w:lang w:val="en-US"/>
              </w:rPr>
            </w:pPr>
            <w:r>
              <w:rPr>
                <w:rFonts w:cstheme="minorHAnsi"/>
                <w:sz w:val="20"/>
                <w:szCs w:val="20"/>
                <w:lang w:val="en-US"/>
              </w:rPr>
              <w:t xml:space="preserve">Please also include the currency name </w:t>
            </w:r>
          </w:p>
          <w:p w14:paraId="70CF7DFA" w14:textId="77777777" w:rsidR="00385CDE" w:rsidRPr="00543495" w:rsidRDefault="00385CDE" w:rsidP="00385CDE">
            <w:pPr>
              <w:rPr>
                <w:rFonts w:cstheme="minorHAnsi"/>
                <w:sz w:val="20"/>
                <w:szCs w:val="20"/>
                <w:lang w:val="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320D887" w14:textId="77777777" w:rsidR="00385CDE" w:rsidRPr="00543495" w:rsidRDefault="00385CDE" w:rsidP="00385CDE">
            <w:pPr>
              <w:rPr>
                <w:rFonts w:cstheme="minorHAnsi"/>
                <w:sz w:val="20"/>
                <w:szCs w:val="20"/>
                <w:lang w:val="en-US"/>
              </w:rPr>
            </w:pPr>
          </w:p>
        </w:tc>
      </w:tr>
      <w:tr w:rsidR="00385CDE" w:rsidRPr="00D53F17" w14:paraId="76652739" w14:textId="77777777" w:rsidTr="00535F3D">
        <w:tc>
          <w:tcPr>
            <w:tcW w:w="1129" w:type="dxa"/>
            <w:tcBorders>
              <w:top w:val="single" w:sz="4" w:space="0" w:color="auto"/>
              <w:bottom w:val="single" w:sz="4" w:space="0" w:color="auto"/>
              <w:right w:val="single" w:sz="4" w:space="0" w:color="auto"/>
            </w:tcBorders>
            <w:shd w:val="clear" w:color="auto" w:fill="F2F2F2" w:themeFill="background1" w:themeFillShade="F2"/>
          </w:tcPr>
          <w:p w14:paraId="1F046264" w14:textId="77777777" w:rsidR="00385CDE" w:rsidRPr="00543495" w:rsidRDefault="00385CDE" w:rsidP="00385CDE">
            <w:pPr>
              <w:spacing w:before="60" w:after="60"/>
              <w:rPr>
                <w:rFonts w:eastAsia="Times New Roman" w:cstheme="minorHAnsi"/>
                <w:color w:val="000000"/>
                <w:sz w:val="20"/>
                <w:szCs w:val="20"/>
                <w:lang w:eastAsia="nl-NL"/>
              </w:rPr>
            </w:pPr>
            <w:proofErr w:type="spellStart"/>
            <w:r w:rsidRPr="00543495">
              <w:rPr>
                <w:rFonts w:eastAsia="Times New Roman" w:cstheme="minorHAnsi"/>
                <w:color w:val="000000"/>
                <w:sz w:val="20"/>
                <w:szCs w:val="20"/>
                <w:lang w:eastAsia="nl-NL"/>
              </w:rPr>
              <w:t>Denomination</w:t>
            </w:r>
            <w:proofErr w:type="spellEnd"/>
            <w:r w:rsidRPr="00543495">
              <w:rPr>
                <w:rFonts w:eastAsia="Times New Roman" w:cstheme="minorHAnsi"/>
                <w:color w:val="000000"/>
                <w:sz w:val="20"/>
                <w:szCs w:val="20"/>
                <w:lang w:eastAsia="nl-NL"/>
              </w:rPr>
              <w:t xml:space="preserve"> per unit</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3F617C" w14:textId="77777777" w:rsidR="00385CDE" w:rsidRPr="00543495" w:rsidRDefault="00385CDE" w:rsidP="00385CD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Nominal value or notional value per unit in the issuance currency</w:t>
            </w:r>
          </w:p>
          <w:p w14:paraId="2C9F4B11" w14:textId="02E2BBF9" w:rsidR="00385CDE" w:rsidRPr="00543495" w:rsidRDefault="00385CDE" w:rsidP="00385CDE">
            <w:pPr>
              <w:spacing w:before="60" w:after="60"/>
              <w:rPr>
                <w:rFonts w:eastAsia="Times New Roman" w:cstheme="minorHAnsi"/>
                <w:color w:val="000000"/>
                <w:sz w:val="20"/>
                <w:szCs w:val="20"/>
                <w:lang w:val="en-US" w:eastAsia="nl-NL"/>
              </w:rPr>
            </w:pP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0F9CB2" w14:textId="365F29B4" w:rsidR="00385CDE" w:rsidRPr="00550AFE" w:rsidRDefault="00385CDE" w:rsidP="00096798">
            <w:pPr>
              <w:rPr>
                <w:rFonts w:cstheme="minorHAnsi"/>
                <w:i/>
                <w:sz w:val="20"/>
                <w:szCs w:val="20"/>
                <w:lang w:val="en-US"/>
              </w:rPr>
            </w:pPr>
            <w:r w:rsidRPr="00543495">
              <w:rPr>
                <w:rFonts w:eastAsia="Times New Roman" w:cstheme="minorHAnsi"/>
                <w:color w:val="000000"/>
                <w:sz w:val="20"/>
                <w:szCs w:val="20"/>
                <w:lang w:val="en-US" w:eastAsia="nl-NL"/>
              </w:rPr>
              <w:t>Field applicable to securities with defined denomination</w:t>
            </w:r>
            <w:r w:rsidR="00550AFE">
              <w:rPr>
                <w:rFonts w:eastAsia="Times New Roman" w:cstheme="minorHAnsi"/>
                <w:color w:val="000000"/>
                <w:sz w:val="20"/>
                <w:szCs w:val="20"/>
                <w:lang w:val="en-US" w:eastAsia="nl-NL"/>
              </w:rPr>
              <w:br/>
            </w:r>
            <w:r w:rsidR="00096798">
              <w:rPr>
                <w:rFonts w:eastAsia="Times New Roman" w:cstheme="minorHAnsi"/>
                <w:color w:val="000000"/>
                <w:sz w:val="20"/>
                <w:szCs w:val="20"/>
                <w:lang w:val="en-US" w:eastAsia="nl-NL"/>
              </w:rPr>
              <w:t>Please include a value or, i</w:t>
            </w:r>
            <w:r w:rsidR="00550AFE" w:rsidRPr="00096798">
              <w:rPr>
                <w:rFonts w:eastAsia="Times New Roman" w:cstheme="minorHAnsi"/>
                <w:color w:val="000000"/>
                <w:sz w:val="20"/>
                <w:szCs w:val="20"/>
                <w:lang w:val="en-US" w:eastAsia="nl-NL"/>
              </w:rPr>
              <w:t xml:space="preserve">f </w:t>
            </w:r>
            <w:r w:rsidR="00096798">
              <w:rPr>
                <w:rFonts w:eastAsia="Times New Roman" w:cstheme="minorHAnsi"/>
                <w:color w:val="000000"/>
                <w:sz w:val="20"/>
                <w:szCs w:val="20"/>
                <w:lang w:val="en-US" w:eastAsia="nl-NL"/>
              </w:rPr>
              <w:t>the security does not have a defined denomination, please indicate ‘not applicable’</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FFB4A7B" w14:textId="77777777" w:rsidR="00385CDE" w:rsidRPr="00543495" w:rsidRDefault="00385CDE" w:rsidP="00385CDE">
            <w:pPr>
              <w:rPr>
                <w:rFonts w:cstheme="minorHAnsi"/>
                <w:sz w:val="20"/>
                <w:szCs w:val="20"/>
                <w:lang w:val="en-US"/>
              </w:rPr>
            </w:pPr>
          </w:p>
        </w:tc>
      </w:tr>
      <w:tr w:rsidR="00385CDE" w:rsidRPr="00D53F17" w14:paraId="19BD3B7D" w14:textId="77777777" w:rsidTr="00535F3D">
        <w:tc>
          <w:tcPr>
            <w:tcW w:w="1129" w:type="dxa"/>
            <w:tcBorders>
              <w:top w:val="single" w:sz="4" w:space="0" w:color="auto"/>
              <w:bottom w:val="single" w:sz="4" w:space="0" w:color="auto"/>
              <w:right w:val="single" w:sz="4" w:space="0" w:color="auto"/>
            </w:tcBorders>
            <w:shd w:val="clear" w:color="auto" w:fill="F2F2F2" w:themeFill="background1" w:themeFillShade="F2"/>
          </w:tcPr>
          <w:p w14:paraId="219EAE0B" w14:textId="77777777" w:rsidR="00385CDE" w:rsidRPr="00543495" w:rsidRDefault="00385CDE" w:rsidP="00385CD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Identifier or name of the underlying</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FBFA4" w14:textId="22173EDC" w:rsidR="00385CDE" w:rsidRPr="00543495" w:rsidRDefault="00385CDE" w:rsidP="00385CD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 xml:space="preserve">ISIN code </w:t>
            </w:r>
            <w:r w:rsidR="00550AFE">
              <w:rPr>
                <w:rFonts w:eastAsia="Times New Roman" w:cstheme="minorHAnsi"/>
                <w:color w:val="000000"/>
                <w:sz w:val="20"/>
                <w:szCs w:val="20"/>
                <w:lang w:val="en-US" w:eastAsia="nl-NL"/>
              </w:rPr>
              <w:t xml:space="preserve">or name </w:t>
            </w:r>
            <w:r w:rsidRPr="00543495">
              <w:rPr>
                <w:rFonts w:eastAsia="Times New Roman" w:cstheme="minorHAnsi"/>
                <w:color w:val="000000"/>
                <w:sz w:val="20"/>
                <w:szCs w:val="20"/>
                <w:lang w:val="en-US" w:eastAsia="nl-NL"/>
              </w:rPr>
              <w:t>of the underlying security/index</w:t>
            </w: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2F96AE" w14:textId="3E0D0851" w:rsidR="00550AFE" w:rsidRPr="00543495" w:rsidRDefault="00550AFE" w:rsidP="00550AF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ISIN code of the underlying security/index</w:t>
            </w:r>
            <w:r>
              <w:rPr>
                <w:rFonts w:eastAsia="Times New Roman" w:cstheme="minorHAnsi"/>
                <w:color w:val="000000"/>
                <w:sz w:val="20"/>
                <w:szCs w:val="20"/>
                <w:lang w:val="en-US" w:eastAsia="nl-NL"/>
              </w:rPr>
              <w:t>,</w:t>
            </w:r>
            <w:r w:rsidRPr="00543495">
              <w:rPr>
                <w:rFonts w:eastAsia="Times New Roman" w:cstheme="minorHAnsi"/>
                <w:color w:val="000000"/>
                <w:sz w:val="20"/>
                <w:szCs w:val="20"/>
                <w:lang w:val="en-US" w:eastAsia="nl-NL"/>
              </w:rPr>
              <w:t xml:space="preserve"> or name of the underlying security/index if an ISIN does not </w:t>
            </w:r>
            <w:proofErr w:type="gramStart"/>
            <w:r w:rsidRPr="00543495">
              <w:rPr>
                <w:rFonts w:eastAsia="Times New Roman" w:cstheme="minorHAnsi"/>
                <w:color w:val="000000"/>
                <w:sz w:val="20"/>
                <w:szCs w:val="20"/>
                <w:lang w:val="en-US" w:eastAsia="nl-NL"/>
              </w:rPr>
              <w:t>exist</w:t>
            </w:r>
            <w:proofErr w:type="gramEnd"/>
          </w:p>
          <w:p w14:paraId="59B47311" w14:textId="77777777" w:rsidR="00550AFE" w:rsidRPr="00543495" w:rsidRDefault="00550AFE" w:rsidP="00550AF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 xml:space="preserve">When basket of securities, to be identified </w:t>
            </w:r>
            <w:proofErr w:type="gramStart"/>
            <w:r w:rsidRPr="00543495">
              <w:rPr>
                <w:rFonts w:eastAsia="Times New Roman" w:cstheme="minorHAnsi"/>
                <w:color w:val="000000"/>
                <w:sz w:val="20"/>
                <w:szCs w:val="20"/>
                <w:lang w:val="en-US" w:eastAsia="nl-NL"/>
              </w:rPr>
              <w:t>accordingly</w:t>
            </w:r>
            <w:proofErr w:type="gramEnd"/>
          </w:p>
          <w:p w14:paraId="4657DBA8" w14:textId="0BD468BA" w:rsidR="00385CDE" w:rsidRPr="00543495" w:rsidRDefault="00550AFE" w:rsidP="00971605">
            <w:pPr>
              <w:rPr>
                <w:rFonts w:cstheme="minorHAnsi"/>
                <w:sz w:val="20"/>
                <w:szCs w:val="20"/>
                <w:lang w:val="en-US"/>
              </w:rPr>
            </w:pPr>
            <w:r w:rsidRPr="00543495">
              <w:rPr>
                <w:rFonts w:eastAsia="Times New Roman" w:cstheme="minorHAnsi"/>
                <w:color w:val="000000"/>
                <w:sz w:val="20"/>
                <w:szCs w:val="20"/>
                <w:lang w:val="en-US" w:eastAsia="nl-NL"/>
              </w:rPr>
              <w:t xml:space="preserve">Field applicable to securities with defined underlying. </w:t>
            </w:r>
            <w:r w:rsidR="00971605">
              <w:rPr>
                <w:rFonts w:eastAsia="Times New Roman" w:cstheme="minorHAnsi"/>
                <w:color w:val="000000"/>
                <w:sz w:val="20"/>
                <w:szCs w:val="20"/>
                <w:lang w:val="en-US" w:eastAsia="nl-NL"/>
              </w:rPr>
              <w:t>If no defined underlying, please indicate ‘not applicable’.</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3929725" w14:textId="77777777" w:rsidR="00385CDE" w:rsidRPr="00543495" w:rsidRDefault="00385CDE" w:rsidP="00385CDE">
            <w:pPr>
              <w:rPr>
                <w:rFonts w:cstheme="minorHAnsi"/>
                <w:sz w:val="20"/>
                <w:szCs w:val="20"/>
                <w:lang w:val="en-US"/>
              </w:rPr>
            </w:pPr>
          </w:p>
        </w:tc>
      </w:tr>
      <w:tr w:rsidR="00385CDE" w:rsidRPr="00D53F17" w14:paraId="4561703C" w14:textId="77777777" w:rsidTr="00535F3D">
        <w:tc>
          <w:tcPr>
            <w:tcW w:w="1129" w:type="dxa"/>
            <w:tcBorders>
              <w:top w:val="single" w:sz="4" w:space="0" w:color="auto"/>
              <w:bottom w:val="single" w:sz="4" w:space="0" w:color="auto"/>
              <w:right w:val="single" w:sz="4" w:space="0" w:color="auto"/>
            </w:tcBorders>
            <w:shd w:val="clear" w:color="auto" w:fill="F2F2F2" w:themeFill="background1" w:themeFillShade="F2"/>
          </w:tcPr>
          <w:p w14:paraId="0B9FE41C" w14:textId="77777777" w:rsidR="00385CDE" w:rsidRPr="00543495" w:rsidRDefault="00385CDE" w:rsidP="00385CDE">
            <w:pPr>
              <w:spacing w:before="60" w:after="60"/>
              <w:rPr>
                <w:rFonts w:eastAsia="Times New Roman" w:cstheme="minorHAnsi"/>
                <w:color w:val="000000"/>
                <w:sz w:val="20"/>
                <w:szCs w:val="20"/>
                <w:lang w:eastAsia="nl-NL"/>
              </w:rPr>
            </w:pPr>
            <w:proofErr w:type="spellStart"/>
            <w:r w:rsidRPr="00543495">
              <w:rPr>
                <w:rFonts w:eastAsia="Times New Roman" w:cstheme="minorHAnsi"/>
                <w:color w:val="000000"/>
                <w:sz w:val="20"/>
                <w:szCs w:val="20"/>
                <w:lang w:eastAsia="nl-NL"/>
              </w:rPr>
              <w:t>Maturity</w:t>
            </w:r>
            <w:proofErr w:type="spellEnd"/>
            <w:r w:rsidRPr="00543495">
              <w:rPr>
                <w:rFonts w:eastAsia="Times New Roman" w:cstheme="minorHAnsi"/>
                <w:color w:val="000000"/>
                <w:sz w:val="20"/>
                <w:szCs w:val="20"/>
                <w:lang w:eastAsia="nl-NL"/>
              </w:rPr>
              <w:t xml:space="preserve"> or </w:t>
            </w:r>
            <w:proofErr w:type="spellStart"/>
            <w:r w:rsidRPr="00543495">
              <w:rPr>
                <w:rFonts w:eastAsia="Times New Roman" w:cstheme="minorHAnsi"/>
                <w:color w:val="000000"/>
                <w:sz w:val="20"/>
                <w:szCs w:val="20"/>
                <w:lang w:eastAsia="nl-NL"/>
              </w:rPr>
              <w:t>expiry</w:t>
            </w:r>
            <w:proofErr w:type="spellEnd"/>
            <w:r w:rsidRPr="00543495">
              <w:rPr>
                <w:rFonts w:eastAsia="Times New Roman" w:cstheme="minorHAnsi"/>
                <w:color w:val="000000"/>
                <w:sz w:val="20"/>
                <w:szCs w:val="20"/>
                <w:lang w:eastAsia="nl-NL"/>
              </w:rPr>
              <w:t xml:space="preserve"> date</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EB468" w14:textId="77777777" w:rsidR="00385CDE" w:rsidRPr="00543495" w:rsidRDefault="00385CDE" w:rsidP="00385CD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Date of maturity or expiry date of the security, when applicable</w:t>
            </w:r>
          </w:p>
          <w:p w14:paraId="0D7CE9DE" w14:textId="7C9B2209" w:rsidR="00385CDE" w:rsidRPr="00543495" w:rsidRDefault="00385CDE" w:rsidP="00385CDE">
            <w:pPr>
              <w:spacing w:before="60" w:after="60"/>
              <w:rPr>
                <w:rFonts w:eastAsia="Times New Roman" w:cstheme="minorHAnsi"/>
                <w:color w:val="000000"/>
                <w:sz w:val="20"/>
                <w:szCs w:val="20"/>
                <w:lang w:val="en-US" w:eastAsia="nl-NL"/>
              </w:rPr>
            </w:pP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99A861" w14:textId="77777777" w:rsidR="00385CDE" w:rsidRDefault="00385CDE" w:rsidP="00385CDE">
            <w:pPr>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Field applicable to securities with defined maturity</w:t>
            </w:r>
            <w:r w:rsidR="00096798">
              <w:rPr>
                <w:rFonts w:eastAsia="Times New Roman" w:cstheme="minorHAnsi"/>
                <w:color w:val="000000"/>
                <w:sz w:val="20"/>
                <w:szCs w:val="20"/>
                <w:lang w:val="en-US" w:eastAsia="nl-NL"/>
              </w:rPr>
              <w:t>.</w:t>
            </w:r>
          </w:p>
          <w:p w14:paraId="0D276BF4" w14:textId="77777777" w:rsidR="00096798" w:rsidRDefault="00096798" w:rsidP="00385CDE">
            <w:pPr>
              <w:rPr>
                <w:rFonts w:eastAsia="Times New Roman" w:cstheme="minorHAnsi"/>
                <w:color w:val="000000"/>
                <w:sz w:val="20"/>
                <w:szCs w:val="20"/>
                <w:lang w:val="en-US" w:eastAsia="nl-NL"/>
              </w:rPr>
            </w:pPr>
            <w:r>
              <w:rPr>
                <w:rFonts w:eastAsia="Times New Roman" w:cstheme="minorHAnsi"/>
                <w:color w:val="000000"/>
                <w:sz w:val="20"/>
                <w:szCs w:val="20"/>
                <w:lang w:val="en-US" w:eastAsia="nl-NL"/>
              </w:rPr>
              <w:t xml:space="preserve">A date should be included. </w:t>
            </w:r>
            <w:r w:rsidRPr="00096798">
              <w:rPr>
                <w:rFonts w:eastAsia="Times New Roman" w:cstheme="minorHAnsi"/>
                <w:color w:val="000000"/>
                <w:sz w:val="20"/>
                <w:szCs w:val="20"/>
                <w:lang w:val="en-US" w:eastAsia="nl-NL"/>
              </w:rPr>
              <w:t xml:space="preserve">For perpetual debt securities </w:t>
            </w:r>
            <w:r>
              <w:rPr>
                <w:rFonts w:eastAsia="Times New Roman" w:cstheme="minorHAnsi"/>
                <w:color w:val="000000"/>
                <w:sz w:val="20"/>
                <w:szCs w:val="20"/>
                <w:lang w:val="en-US" w:eastAsia="nl-NL"/>
              </w:rPr>
              <w:t xml:space="preserve">this field </w:t>
            </w:r>
            <w:r w:rsidRPr="00096798">
              <w:rPr>
                <w:rFonts w:eastAsia="Times New Roman" w:cstheme="minorHAnsi"/>
                <w:color w:val="000000"/>
                <w:sz w:val="20"/>
                <w:szCs w:val="20"/>
                <w:lang w:val="en-US" w:eastAsia="nl-NL"/>
              </w:rPr>
              <w:t>should be populated with the value 9999-12-31</w:t>
            </w:r>
          </w:p>
          <w:p w14:paraId="0C249DA7" w14:textId="5C8ADE4D" w:rsidR="00096798" w:rsidRPr="00096798" w:rsidRDefault="00096798" w:rsidP="00385CDE">
            <w:pPr>
              <w:rPr>
                <w:rFonts w:cstheme="minorHAnsi"/>
                <w:sz w:val="20"/>
                <w:szCs w:val="20"/>
                <w:lang w:val="en-US"/>
              </w:rPr>
            </w:pPr>
            <w:r>
              <w:rPr>
                <w:rFonts w:eastAsia="Times New Roman" w:cstheme="minorHAnsi"/>
                <w:color w:val="000000"/>
                <w:sz w:val="20"/>
                <w:szCs w:val="20"/>
                <w:lang w:val="en-US" w:eastAsia="nl-NL"/>
              </w:rPr>
              <w:t>Or indicate ‘not applicable’ if security has no defined maturity</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3C0C564" w14:textId="77777777" w:rsidR="00385CDE" w:rsidRPr="00543495" w:rsidRDefault="00385CDE" w:rsidP="00385CDE">
            <w:pPr>
              <w:rPr>
                <w:rFonts w:cstheme="minorHAnsi"/>
                <w:sz w:val="20"/>
                <w:szCs w:val="20"/>
                <w:lang w:val="en-US"/>
              </w:rPr>
            </w:pPr>
          </w:p>
        </w:tc>
      </w:tr>
      <w:tr w:rsidR="00385CDE" w:rsidRPr="00543495" w14:paraId="0CACA4A2" w14:textId="77777777" w:rsidTr="00535F3D">
        <w:tc>
          <w:tcPr>
            <w:tcW w:w="1129" w:type="dxa"/>
            <w:tcBorders>
              <w:top w:val="single" w:sz="4" w:space="0" w:color="auto"/>
              <w:bottom w:val="single" w:sz="4" w:space="0" w:color="auto"/>
              <w:right w:val="single" w:sz="4" w:space="0" w:color="auto"/>
            </w:tcBorders>
            <w:shd w:val="clear" w:color="auto" w:fill="F2F2F2" w:themeFill="background1" w:themeFillShade="F2"/>
          </w:tcPr>
          <w:p w14:paraId="461B7EA5" w14:textId="77777777" w:rsidR="00385CDE" w:rsidRPr="00543495" w:rsidRDefault="00385CDE" w:rsidP="00385CDE">
            <w:pPr>
              <w:spacing w:before="60" w:after="60"/>
              <w:rPr>
                <w:rFonts w:eastAsia="Times New Roman" w:cstheme="minorHAnsi"/>
                <w:color w:val="000000"/>
                <w:sz w:val="20"/>
                <w:szCs w:val="20"/>
                <w:lang w:eastAsia="nl-NL"/>
              </w:rPr>
            </w:pPr>
            <w:r w:rsidRPr="00543495">
              <w:rPr>
                <w:rFonts w:eastAsia="Times New Roman" w:cstheme="minorHAnsi"/>
                <w:color w:val="000000"/>
                <w:sz w:val="20"/>
                <w:szCs w:val="20"/>
                <w:lang w:eastAsia="nl-NL"/>
              </w:rPr>
              <w:t xml:space="preserve">Volume </w:t>
            </w:r>
            <w:proofErr w:type="spellStart"/>
            <w:r w:rsidRPr="00543495">
              <w:rPr>
                <w:rFonts w:eastAsia="Times New Roman" w:cstheme="minorHAnsi"/>
                <w:color w:val="000000"/>
                <w:sz w:val="20"/>
                <w:szCs w:val="20"/>
                <w:lang w:eastAsia="nl-NL"/>
              </w:rPr>
              <w:t>offered</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1A174" w14:textId="62B27CC6" w:rsidR="00385CDE" w:rsidRPr="00543495" w:rsidRDefault="00385CDE" w:rsidP="00385CD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Number of securities offered</w:t>
            </w: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8FE48" w14:textId="1D856FED" w:rsidR="00385CDE" w:rsidRDefault="00385CDE" w:rsidP="00385CD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Field applicable only to equity</w:t>
            </w:r>
          </w:p>
          <w:p w14:paraId="23238914" w14:textId="26AE5E27" w:rsidR="00096798" w:rsidRPr="00096798" w:rsidRDefault="00096798" w:rsidP="00385CDE">
            <w:pPr>
              <w:spacing w:before="60" w:after="60"/>
              <w:rPr>
                <w:rFonts w:eastAsia="Times New Roman" w:cstheme="minorHAnsi"/>
                <w:color w:val="000000"/>
                <w:sz w:val="20"/>
                <w:szCs w:val="20"/>
                <w:lang w:val="en-US" w:eastAsia="nl-NL"/>
              </w:rPr>
            </w:pPr>
            <w:r>
              <w:rPr>
                <w:rFonts w:eastAsia="Times New Roman" w:cstheme="minorHAnsi"/>
                <w:color w:val="000000"/>
                <w:sz w:val="20"/>
                <w:szCs w:val="20"/>
                <w:lang w:val="en-US" w:eastAsia="nl-NL"/>
              </w:rPr>
              <w:t>Please include the number e</w:t>
            </w:r>
            <w:r w:rsidRPr="00096798">
              <w:rPr>
                <w:rFonts w:eastAsia="Times New Roman" w:cstheme="minorHAnsi"/>
                <w:color w:val="000000"/>
                <w:sz w:val="20"/>
                <w:szCs w:val="20"/>
                <w:lang w:val="en-US" w:eastAsia="nl-NL"/>
              </w:rPr>
              <w:t>ither a</w:t>
            </w:r>
            <w:r>
              <w:rPr>
                <w:rFonts w:eastAsia="Times New Roman" w:cstheme="minorHAnsi"/>
                <w:color w:val="000000"/>
                <w:sz w:val="20"/>
                <w:szCs w:val="20"/>
                <w:lang w:val="en-US" w:eastAsia="nl-NL"/>
              </w:rPr>
              <w:t>s single value, range of values or</w:t>
            </w:r>
            <w:r w:rsidRPr="00096798">
              <w:rPr>
                <w:rFonts w:eastAsia="Times New Roman" w:cstheme="minorHAnsi"/>
                <w:color w:val="000000"/>
                <w:sz w:val="20"/>
                <w:szCs w:val="20"/>
                <w:lang w:val="en-US" w:eastAsia="nl-NL"/>
              </w:rPr>
              <w:t xml:space="preserve"> maximum</w:t>
            </w:r>
            <w:r>
              <w:rPr>
                <w:rFonts w:eastAsia="Times New Roman" w:cstheme="minorHAnsi"/>
                <w:color w:val="000000"/>
                <w:sz w:val="20"/>
                <w:szCs w:val="20"/>
                <w:lang w:val="en-US" w:eastAsia="nl-NL"/>
              </w:rPr>
              <w:t>. Or indicate ‘not applicable’ if security is non-</w:t>
            </w:r>
            <w:proofErr w:type="gramStart"/>
            <w:r>
              <w:rPr>
                <w:rFonts w:eastAsia="Times New Roman" w:cstheme="minorHAnsi"/>
                <w:color w:val="000000"/>
                <w:sz w:val="20"/>
                <w:szCs w:val="20"/>
                <w:lang w:val="en-US" w:eastAsia="nl-NL"/>
              </w:rPr>
              <w:t>equity</w:t>
            </w:r>
            <w:proofErr w:type="gramEnd"/>
          </w:p>
          <w:p w14:paraId="62DBAB7E" w14:textId="77777777" w:rsidR="00385CDE" w:rsidRPr="00543495" w:rsidRDefault="00385CDE" w:rsidP="00385CDE">
            <w:pPr>
              <w:rPr>
                <w:rFonts w:cstheme="minorHAnsi"/>
                <w:sz w:val="20"/>
                <w:szCs w:val="20"/>
                <w:lang w:val="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04EDE23" w14:textId="77777777" w:rsidR="00385CDE" w:rsidRPr="00543495" w:rsidRDefault="00385CDE" w:rsidP="00385CDE">
            <w:pPr>
              <w:rPr>
                <w:rFonts w:cstheme="minorHAnsi"/>
                <w:sz w:val="20"/>
                <w:szCs w:val="20"/>
                <w:lang w:val="en-US"/>
              </w:rPr>
            </w:pPr>
          </w:p>
        </w:tc>
      </w:tr>
      <w:tr w:rsidR="00385CDE" w:rsidRPr="00D53F17" w14:paraId="44B9E9A9" w14:textId="77777777" w:rsidTr="00535F3D">
        <w:tc>
          <w:tcPr>
            <w:tcW w:w="1129" w:type="dxa"/>
            <w:tcBorders>
              <w:top w:val="single" w:sz="4" w:space="0" w:color="auto"/>
              <w:bottom w:val="single" w:sz="4" w:space="0" w:color="auto"/>
              <w:right w:val="single" w:sz="4" w:space="0" w:color="auto"/>
            </w:tcBorders>
            <w:shd w:val="clear" w:color="auto" w:fill="F2F2F2" w:themeFill="background1" w:themeFillShade="F2"/>
          </w:tcPr>
          <w:p w14:paraId="56348C01" w14:textId="77777777" w:rsidR="00385CDE" w:rsidRPr="00543495" w:rsidRDefault="00385CDE" w:rsidP="00385CDE">
            <w:pPr>
              <w:spacing w:before="60" w:after="60"/>
              <w:rPr>
                <w:rFonts w:eastAsia="Times New Roman" w:cstheme="minorHAnsi"/>
                <w:color w:val="000000"/>
                <w:sz w:val="20"/>
                <w:szCs w:val="20"/>
                <w:lang w:eastAsia="nl-NL"/>
              </w:rPr>
            </w:pPr>
            <w:r w:rsidRPr="00543495">
              <w:rPr>
                <w:rFonts w:eastAsia="Times New Roman" w:cstheme="minorHAnsi"/>
                <w:color w:val="000000"/>
                <w:sz w:val="20"/>
                <w:szCs w:val="20"/>
                <w:lang w:eastAsia="nl-NL"/>
              </w:rPr>
              <w:lastRenderedPageBreak/>
              <w:t xml:space="preserve">Price </w:t>
            </w:r>
            <w:proofErr w:type="spellStart"/>
            <w:r w:rsidRPr="00543495">
              <w:rPr>
                <w:rFonts w:eastAsia="Times New Roman" w:cstheme="minorHAnsi"/>
                <w:color w:val="000000"/>
                <w:sz w:val="20"/>
                <w:szCs w:val="20"/>
                <w:lang w:eastAsia="nl-NL"/>
              </w:rPr>
              <w:t>offered</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63ECF4" w14:textId="3DBCDCB0" w:rsidR="00385CDE" w:rsidRPr="00543495" w:rsidRDefault="00385CDE" w:rsidP="00385CD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Price per security offered, in monetary value. The currency of the price is the issuance currency</w:t>
            </w: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44129F" w14:textId="685D0865" w:rsidR="00385CDE" w:rsidRDefault="00385CDE" w:rsidP="00385CD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Field applicable only to equity</w:t>
            </w:r>
            <w:r w:rsidR="00480FDF">
              <w:rPr>
                <w:rFonts w:eastAsia="Times New Roman" w:cstheme="minorHAnsi"/>
                <w:color w:val="000000"/>
                <w:sz w:val="20"/>
                <w:szCs w:val="20"/>
                <w:lang w:val="en-US" w:eastAsia="nl-NL"/>
              </w:rPr>
              <w:t>.</w:t>
            </w:r>
          </w:p>
          <w:p w14:paraId="05A569B6" w14:textId="495D338A" w:rsidR="00480FDF" w:rsidRPr="00480FDF" w:rsidRDefault="00480FDF" w:rsidP="00480FDF">
            <w:pPr>
              <w:spacing w:before="60" w:after="60"/>
              <w:rPr>
                <w:rFonts w:eastAsia="Times New Roman" w:cstheme="minorHAnsi"/>
                <w:color w:val="000000"/>
                <w:sz w:val="20"/>
                <w:szCs w:val="20"/>
                <w:lang w:val="en-US" w:eastAsia="nl-NL"/>
              </w:rPr>
            </w:pPr>
            <w:r>
              <w:rPr>
                <w:rFonts w:eastAsia="Times New Roman" w:cstheme="minorHAnsi"/>
                <w:color w:val="000000"/>
                <w:sz w:val="20"/>
                <w:szCs w:val="20"/>
                <w:lang w:val="en-US" w:eastAsia="nl-NL"/>
              </w:rPr>
              <w:t>Include price e</w:t>
            </w:r>
            <w:r w:rsidRPr="00480FDF">
              <w:rPr>
                <w:rFonts w:eastAsia="Times New Roman" w:cstheme="minorHAnsi"/>
                <w:color w:val="000000"/>
                <w:sz w:val="20"/>
                <w:szCs w:val="20"/>
                <w:lang w:val="en-US" w:eastAsia="nl-NL"/>
              </w:rPr>
              <w:t>ither as</w:t>
            </w:r>
            <w:r>
              <w:rPr>
                <w:rFonts w:eastAsia="Times New Roman" w:cstheme="minorHAnsi"/>
                <w:color w:val="000000"/>
                <w:sz w:val="20"/>
                <w:szCs w:val="20"/>
                <w:lang w:val="en-US" w:eastAsia="nl-NL"/>
              </w:rPr>
              <w:t xml:space="preserve"> single value, range of values or </w:t>
            </w:r>
            <w:r w:rsidRPr="00480FDF">
              <w:rPr>
                <w:rFonts w:eastAsia="Times New Roman" w:cstheme="minorHAnsi"/>
                <w:color w:val="000000"/>
                <w:sz w:val="20"/>
                <w:szCs w:val="20"/>
                <w:lang w:val="en-US" w:eastAsia="nl-NL"/>
              </w:rPr>
              <w:t>maximum</w:t>
            </w:r>
            <w:r>
              <w:rPr>
                <w:rFonts w:eastAsia="Times New Roman" w:cstheme="minorHAnsi"/>
                <w:color w:val="000000"/>
                <w:sz w:val="20"/>
                <w:szCs w:val="20"/>
                <w:lang w:val="en-US" w:eastAsia="nl-NL"/>
              </w:rPr>
              <w:t>.</w:t>
            </w:r>
          </w:p>
          <w:p w14:paraId="35D52E8E" w14:textId="6266A966" w:rsidR="00480FDF" w:rsidRPr="00480FDF" w:rsidRDefault="00480FDF" w:rsidP="00480FDF">
            <w:pPr>
              <w:spacing w:before="60" w:after="60"/>
              <w:rPr>
                <w:rFonts w:eastAsia="Times New Roman" w:cstheme="minorHAnsi"/>
                <w:color w:val="000000"/>
                <w:sz w:val="20"/>
                <w:szCs w:val="20"/>
                <w:lang w:val="en-US" w:eastAsia="nl-NL"/>
              </w:rPr>
            </w:pPr>
            <w:r>
              <w:rPr>
                <w:rFonts w:eastAsia="Times New Roman" w:cstheme="minorHAnsi"/>
                <w:color w:val="000000"/>
                <w:sz w:val="20"/>
                <w:szCs w:val="20"/>
                <w:lang w:val="en-US" w:eastAsia="nl-NL"/>
              </w:rPr>
              <w:t>Or include:</w:t>
            </w:r>
          </w:p>
          <w:p w14:paraId="3FB2A294" w14:textId="77777777" w:rsidR="00480FDF" w:rsidRDefault="00480FDF" w:rsidP="00480FDF">
            <w:pPr>
              <w:pStyle w:val="Lijstalinea"/>
              <w:numPr>
                <w:ilvl w:val="0"/>
                <w:numId w:val="5"/>
              </w:numPr>
              <w:spacing w:before="60" w:after="60"/>
              <w:rPr>
                <w:rFonts w:eastAsia="Times New Roman" w:cstheme="minorHAnsi"/>
                <w:color w:val="000000"/>
                <w:sz w:val="20"/>
                <w:szCs w:val="20"/>
                <w:lang w:val="en-US" w:eastAsia="nl-NL"/>
              </w:rPr>
            </w:pPr>
            <w:r w:rsidRPr="00480FDF">
              <w:rPr>
                <w:rFonts w:eastAsia="Times New Roman" w:cstheme="minorHAnsi"/>
                <w:color w:val="000000"/>
                <w:sz w:val="20"/>
                <w:szCs w:val="20"/>
                <w:lang w:val="en-US" w:eastAsia="nl-NL"/>
              </w:rPr>
              <w:t>‘</w:t>
            </w:r>
            <w:r w:rsidRPr="00480FDF">
              <w:rPr>
                <w:rFonts w:eastAsia="Times New Roman" w:cstheme="minorHAnsi"/>
                <w:b/>
                <w:color w:val="000000"/>
                <w:sz w:val="20"/>
                <w:szCs w:val="20"/>
                <w:lang w:val="en-US" w:eastAsia="nl-NL"/>
              </w:rPr>
              <w:t>PNDG</w:t>
            </w:r>
            <w:r w:rsidRPr="00480FDF">
              <w:rPr>
                <w:rFonts w:eastAsia="Times New Roman" w:cstheme="minorHAnsi"/>
                <w:color w:val="000000"/>
                <w:sz w:val="20"/>
                <w:szCs w:val="20"/>
                <w:lang w:val="en-US" w:eastAsia="nl-NL"/>
              </w:rPr>
              <w:t xml:space="preserve">’ in case the price offered is not available but </w:t>
            </w:r>
            <w:proofErr w:type="gramStart"/>
            <w:r w:rsidRPr="00480FDF">
              <w:rPr>
                <w:rFonts w:eastAsia="Times New Roman" w:cstheme="minorHAnsi"/>
                <w:color w:val="000000"/>
                <w:sz w:val="20"/>
                <w:szCs w:val="20"/>
                <w:lang w:val="en-US" w:eastAsia="nl-NL"/>
              </w:rPr>
              <w:t>pending</w:t>
            </w:r>
            <w:proofErr w:type="gramEnd"/>
          </w:p>
          <w:p w14:paraId="08ACF0F7" w14:textId="282572D2" w:rsidR="00AE24F1" w:rsidRPr="00480FDF" w:rsidRDefault="00480FDF" w:rsidP="00480FDF">
            <w:pPr>
              <w:pStyle w:val="Lijstalinea"/>
              <w:numPr>
                <w:ilvl w:val="0"/>
                <w:numId w:val="5"/>
              </w:numPr>
              <w:spacing w:before="60" w:after="60"/>
              <w:rPr>
                <w:rFonts w:eastAsia="Times New Roman" w:cstheme="minorHAnsi"/>
                <w:color w:val="000000"/>
                <w:sz w:val="20"/>
                <w:szCs w:val="20"/>
                <w:lang w:val="en-US" w:eastAsia="nl-NL"/>
              </w:rPr>
            </w:pPr>
            <w:r w:rsidRPr="00480FDF">
              <w:rPr>
                <w:rFonts w:eastAsia="Times New Roman" w:cstheme="minorHAnsi"/>
                <w:color w:val="000000"/>
                <w:sz w:val="20"/>
                <w:szCs w:val="20"/>
                <w:lang w:val="en-US" w:eastAsia="nl-NL"/>
              </w:rPr>
              <w:t>‘</w:t>
            </w:r>
            <w:r w:rsidRPr="00480FDF">
              <w:rPr>
                <w:rFonts w:eastAsia="Times New Roman" w:cstheme="minorHAnsi"/>
                <w:b/>
                <w:color w:val="000000"/>
                <w:sz w:val="20"/>
                <w:szCs w:val="20"/>
                <w:lang w:val="en-US" w:eastAsia="nl-NL"/>
              </w:rPr>
              <w:t>NOAP</w:t>
            </w:r>
            <w:r w:rsidRPr="00480FDF">
              <w:rPr>
                <w:rFonts w:eastAsia="Times New Roman" w:cstheme="minorHAnsi"/>
                <w:color w:val="000000"/>
                <w:sz w:val="20"/>
                <w:szCs w:val="20"/>
                <w:lang w:val="en-US" w:eastAsia="nl-NL"/>
              </w:rPr>
              <w:t xml:space="preserve">’ in case the price offered is not </w:t>
            </w:r>
            <w:proofErr w:type="gramStart"/>
            <w:r w:rsidRPr="00480FDF">
              <w:rPr>
                <w:rFonts w:eastAsia="Times New Roman" w:cstheme="minorHAnsi"/>
                <w:color w:val="000000"/>
                <w:sz w:val="20"/>
                <w:szCs w:val="20"/>
                <w:lang w:val="en-US" w:eastAsia="nl-NL"/>
              </w:rPr>
              <w:t>applicable</w:t>
            </w:r>
            <w:proofErr w:type="gramEnd"/>
          </w:p>
          <w:p w14:paraId="2D8638D7" w14:textId="77777777" w:rsidR="00385CDE" w:rsidRPr="00543495" w:rsidRDefault="00385CDE" w:rsidP="00385CDE">
            <w:pPr>
              <w:rPr>
                <w:rFonts w:cstheme="minorHAnsi"/>
                <w:sz w:val="20"/>
                <w:szCs w:val="20"/>
                <w:lang w:val="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3F4EAC" w14:textId="77777777" w:rsidR="00385CDE" w:rsidRPr="00543495" w:rsidRDefault="00385CDE" w:rsidP="00385CDE">
            <w:pPr>
              <w:rPr>
                <w:rFonts w:cstheme="minorHAnsi"/>
                <w:sz w:val="20"/>
                <w:szCs w:val="20"/>
                <w:lang w:val="en-US"/>
              </w:rPr>
            </w:pPr>
          </w:p>
        </w:tc>
      </w:tr>
      <w:tr w:rsidR="00385CDE" w:rsidRPr="00D53F17" w14:paraId="568BAC3F" w14:textId="77777777" w:rsidTr="00535F3D">
        <w:tc>
          <w:tcPr>
            <w:tcW w:w="1129" w:type="dxa"/>
            <w:tcBorders>
              <w:top w:val="single" w:sz="4" w:space="0" w:color="auto"/>
              <w:bottom w:val="single" w:sz="4" w:space="0" w:color="auto"/>
              <w:right w:val="single" w:sz="4" w:space="0" w:color="auto"/>
            </w:tcBorders>
            <w:shd w:val="clear" w:color="auto" w:fill="F2F2F2" w:themeFill="background1" w:themeFillShade="F2"/>
          </w:tcPr>
          <w:p w14:paraId="2B45D5AF" w14:textId="77777777" w:rsidR="00385CDE" w:rsidRPr="00543495" w:rsidRDefault="00385CDE" w:rsidP="00385CDE">
            <w:pPr>
              <w:spacing w:before="60" w:after="60"/>
              <w:rPr>
                <w:rFonts w:eastAsia="Times New Roman" w:cstheme="minorHAnsi"/>
                <w:color w:val="000000"/>
                <w:sz w:val="20"/>
                <w:szCs w:val="20"/>
                <w:lang w:eastAsia="nl-NL"/>
              </w:rPr>
            </w:pPr>
            <w:proofErr w:type="spellStart"/>
            <w:r w:rsidRPr="00543495">
              <w:rPr>
                <w:rFonts w:eastAsia="Times New Roman" w:cstheme="minorHAnsi"/>
                <w:color w:val="000000"/>
                <w:sz w:val="20"/>
                <w:szCs w:val="20"/>
                <w:lang w:eastAsia="nl-NL"/>
              </w:rPr>
              <w:t>Consideration</w:t>
            </w:r>
            <w:proofErr w:type="spellEnd"/>
            <w:r w:rsidRPr="00543495">
              <w:rPr>
                <w:rFonts w:eastAsia="Times New Roman" w:cstheme="minorHAnsi"/>
                <w:color w:val="000000"/>
                <w:sz w:val="20"/>
                <w:szCs w:val="20"/>
                <w:lang w:eastAsia="nl-NL"/>
              </w:rPr>
              <w:t xml:space="preserve"> </w:t>
            </w:r>
            <w:proofErr w:type="spellStart"/>
            <w:r w:rsidRPr="00543495">
              <w:rPr>
                <w:rFonts w:eastAsia="Times New Roman" w:cstheme="minorHAnsi"/>
                <w:color w:val="000000"/>
                <w:sz w:val="20"/>
                <w:szCs w:val="20"/>
                <w:lang w:eastAsia="nl-NL"/>
              </w:rPr>
              <w:t>offered</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47F0F4" w14:textId="18220B54" w:rsidR="00385CDE" w:rsidRPr="00543495" w:rsidRDefault="00385CDE" w:rsidP="00385CD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Total amount offered</w:t>
            </w:r>
            <w:r w:rsidR="00AE24F1">
              <w:rPr>
                <w:rFonts w:eastAsia="Times New Roman" w:cstheme="minorHAnsi"/>
                <w:color w:val="000000"/>
                <w:sz w:val="20"/>
                <w:szCs w:val="20"/>
                <w:lang w:val="en-US" w:eastAsia="nl-NL"/>
              </w:rPr>
              <w:t xml:space="preserve"> of securities (for each ISIN)</w:t>
            </w:r>
            <w:r w:rsidRPr="00543495">
              <w:rPr>
                <w:rFonts w:eastAsia="Times New Roman" w:cstheme="minorHAnsi"/>
                <w:color w:val="000000"/>
                <w:sz w:val="20"/>
                <w:szCs w:val="20"/>
                <w:lang w:val="en-US" w:eastAsia="nl-NL"/>
              </w:rPr>
              <w:t>, in monetary value of the issuance currency</w:t>
            </w: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3A019" w14:textId="77777777" w:rsidR="00385CDE" w:rsidRPr="00543495" w:rsidRDefault="00385CDE" w:rsidP="00385CDE">
            <w:pPr>
              <w:rPr>
                <w:rFonts w:cstheme="minorHAnsi"/>
                <w:sz w:val="20"/>
                <w:szCs w:val="20"/>
                <w:lang w:val="en-US"/>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51C8A8" w14:textId="77777777" w:rsidR="00385CDE" w:rsidRPr="00543495" w:rsidRDefault="00385CDE" w:rsidP="00385CDE">
            <w:pPr>
              <w:rPr>
                <w:rFonts w:cstheme="minorHAnsi"/>
                <w:sz w:val="20"/>
                <w:szCs w:val="20"/>
                <w:lang w:val="en-US"/>
              </w:rPr>
            </w:pPr>
          </w:p>
        </w:tc>
      </w:tr>
      <w:tr w:rsidR="00385CDE" w:rsidRPr="00543495" w14:paraId="264F017B" w14:textId="77777777" w:rsidTr="00535F3D">
        <w:tc>
          <w:tcPr>
            <w:tcW w:w="1129" w:type="dxa"/>
            <w:tcBorders>
              <w:top w:val="single" w:sz="4" w:space="0" w:color="auto"/>
              <w:bottom w:val="single" w:sz="4" w:space="0" w:color="auto"/>
              <w:right w:val="single" w:sz="4" w:space="0" w:color="auto"/>
            </w:tcBorders>
            <w:shd w:val="clear" w:color="auto" w:fill="F2F2F2" w:themeFill="background1" w:themeFillShade="F2"/>
          </w:tcPr>
          <w:p w14:paraId="475BD736" w14:textId="77777777" w:rsidR="00385CDE" w:rsidRPr="00543495" w:rsidRDefault="00385CDE" w:rsidP="00385CDE">
            <w:pPr>
              <w:spacing w:before="60" w:after="60"/>
              <w:rPr>
                <w:rFonts w:eastAsia="Times New Roman" w:cstheme="minorHAnsi"/>
                <w:color w:val="000000"/>
                <w:sz w:val="20"/>
                <w:szCs w:val="20"/>
                <w:lang w:eastAsia="nl-NL"/>
              </w:rPr>
            </w:pPr>
            <w:r w:rsidRPr="00543495">
              <w:rPr>
                <w:rFonts w:eastAsia="Times New Roman" w:cstheme="minorHAnsi"/>
                <w:color w:val="000000"/>
                <w:sz w:val="20"/>
                <w:szCs w:val="20"/>
                <w:lang w:eastAsia="nl-NL"/>
              </w:rPr>
              <w:t>Type of security</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E3E6DC" w14:textId="40FAAE8B" w:rsidR="00385CDE" w:rsidRPr="00543495" w:rsidRDefault="00385CDE" w:rsidP="00385CD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Classification of categories of equity and non-equity securities</w:t>
            </w: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C59D7" w14:textId="6B8E6A71" w:rsidR="00385CDE" w:rsidRDefault="00385CDE" w:rsidP="00385CDE">
            <w:pPr>
              <w:rPr>
                <w:rFonts w:cstheme="minorHAnsi"/>
                <w:sz w:val="20"/>
                <w:szCs w:val="20"/>
                <w:lang w:val="en-US"/>
              </w:rPr>
            </w:pPr>
            <w:r w:rsidRPr="00543495">
              <w:rPr>
                <w:rFonts w:cstheme="minorHAnsi"/>
                <w:sz w:val="20"/>
                <w:szCs w:val="20"/>
                <w:lang w:val="en-US"/>
              </w:rPr>
              <w:t>Choice from list of predefined fields:</w:t>
            </w:r>
          </w:p>
          <w:p w14:paraId="519662DE" w14:textId="77777777" w:rsidR="00535F3D" w:rsidRPr="00543495" w:rsidRDefault="00535F3D" w:rsidP="00385CDE">
            <w:pPr>
              <w:rPr>
                <w:rFonts w:cstheme="minorHAnsi"/>
                <w:sz w:val="20"/>
                <w:szCs w:val="20"/>
                <w:lang w:val="en-US"/>
              </w:rPr>
            </w:pPr>
          </w:p>
          <w:p w14:paraId="25AF77BB" w14:textId="582152D1" w:rsidR="00385CDE" w:rsidRPr="00480FDF" w:rsidRDefault="00385CDE" w:rsidP="00385CDE">
            <w:pPr>
              <w:rPr>
                <w:rFonts w:cstheme="minorHAnsi"/>
                <w:sz w:val="20"/>
                <w:szCs w:val="20"/>
                <w:u w:val="single"/>
                <w:lang w:val="en-US"/>
              </w:rPr>
            </w:pPr>
            <w:r w:rsidRPr="00480FDF">
              <w:rPr>
                <w:rFonts w:cstheme="minorHAnsi"/>
                <w:sz w:val="20"/>
                <w:szCs w:val="20"/>
                <w:u w:val="single"/>
                <w:lang w:val="en-US"/>
              </w:rPr>
              <w:t>Equity</w:t>
            </w:r>
          </w:p>
          <w:p w14:paraId="5791069E" w14:textId="1870C3B2" w:rsidR="00385CDE" w:rsidRPr="00480FDF" w:rsidRDefault="00385CDE" w:rsidP="00480FDF">
            <w:pPr>
              <w:pStyle w:val="Lijstalinea"/>
              <w:numPr>
                <w:ilvl w:val="0"/>
                <w:numId w:val="3"/>
              </w:numPr>
              <w:rPr>
                <w:rFonts w:cstheme="minorHAnsi"/>
                <w:sz w:val="20"/>
                <w:szCs w:val="20"/>
                <w:lang w:val="en-US"/>
              </w:rPr>
            </w:pPr>
            <w:r w:rsidRPr="00480FDF">
              <w:rPr>
                <w:rFonts w:cstheme="minorHAnsi"/>
                <w:sz w:val="20"/>
                <w:szCs w:val="20"/>
                <w:lang w:val="en-US"/>
              </w:rPr>
              <w:t xml:space="preserve">Shares – </w:t>
            </w:r>
            <w:r w:rsidRPr="00480FDF">
              <w:rPr>
                <w:rFonts w:cstheme="minorHAnsi"/>
                <w:b/>
                <w:sz w:val="20"/>
                <w:szCs w:val="20"/>
                <w:lang w:val="en-US"/>
              </w:rPr>
              <w:t>SHRS</w:t>
            </w:r>
          </w:p>
          <w:p w14:paraId="22D4A5DC" w14:textId="77777777" w:rsidR="00480FDF" w:rsidRDefault="00385CDE" w:rsidP="00385CDE">
            <w:pPr>
              <w:pStyle w:val="Lijstalinea"/>
              <w:numPr>
                <w:ilvl w:val="0"/>
                <w:numId w:val="3"/>
              </w:numPr>
              <w:rPr>
                <w:rFonts w:cstheme="minorHAnsi"/>
                <w:sz w:val="20"/>
                <w:szCs w:val="20"/>
                <w:lang w:val="en-US"/>
              </w:rPr>
            </w:pPr>
            <w:r w:rsidRPr="00480FDF">
              <w:rPr>
                <w:rFonts w:cstheme="minorHAnsi"/>
                <w:sz w:val="20"/>
                <w:szCs w:val="20"/>
                <w:lang w:val="en-US"/>
              </w:rPr>
              <w:t xml:space="preserve">Units or shares in closed end funds – </w:t>
            </w:r>
            <w:proofErr w:type="gramStart"/>
            <w:r w:rsidRPr="00480FDF">
              <w:rPr>
                <w:rFonts w:cstheme="minorHAnsi"/>
                <w:b/>
                <w:sz w:val="20"/>
                <w:szCs w:val="20"/>
                <w:lang w:val="en-US"/>
              </w:rPr>
              <w:t>UCEF</w:t>
            </w:r>
            <w:proofErr w:type="gramEnd"/>
          </w:p>
          <w:p w14:paraId="14A5CAFA" w14:textId="77777777" w:rsidR="00480FDF" w:rsidRDefault="00385CDE" w:rsidP="00385CDE">
            <w:pPr>
              <w:pStyle w:val="Lijstalinea"/>
              <w:numPr>
                <w:ilvl w:val="0"/>
                <w:numId w:val="3"/>
              </w:numPr>
              <w:rPr>
                <w:rFonts w:cstheme="minorHAnsi"/>
                <w:sz w:val="20"/>
                <w:szCs w:val="20"/>
                <w:lang w:val="en-US"/>
              </w:rPr>
            </w:pPr>
            <w:r w:rsidRPr="00480FDF">
              <w:rPr>
                <w:rFonts w:cstheme="minorHAnsi"/>
                <w:sz w:val="20"/>
                <w:szCs w:val="20"/>
                <w:lang w:val="en-US"/>
              </w:rPr>
              <w:t xml:space="preserve">Convertible securities – </w:t>
            </w:r>
            <w:r w:rsidRPr="00480FDF">
              <w:rPr>
                <w:rFonts w:cstheme="minorHAnsi"/>
                <w:b/>
                <w:sz w:val="20"/>
                <w:szCs w:val="20"/>
                <w:lang w:val="en-US"/>
              </w:rPr>
              <w:t>CVTS</w:t>
            </w:r>
          </w:p>
          <w:p w14:paraId="4AEF2AEC" w14:textId="17A2D471" w:rsidR="00385CDE" w:rsidRPr="00480FDF" w:rsidRDefault="00385CDE" w:rsidP="00385CDE">
            <w:pPr>
              <w:pStyle w:val="Lijstalinea"/>
              <w:numPr>
                <w:ilvl w:val="0"/>
                <w:numId w:val="3"/>
              </w:numPr>
              <w:rPr>
                <w:rFonts w:cstheme="minorHAnsi"/>
                <w:sz w:val="20"/>
                <w:szCs w:val="20"/>
                <w:lang w:val="en-US"/>
              </w:rPr>
            </w:pPr>
            <w:r w:rsidRPr="00480FDF">
              <w:rPr>
                <w:rFonts w:cstheme="minorHAnsi"/>
                <w:sz w:val="20"/>
                <w:szCs w:val="20"/>
                <w:lang w:val="en-US"/>
              </w:rPr>
              <w:t xml:space="preserve">Other </w:t>
            </w:r>
            <w:r w:rsidR="00480FDF">
              <w:rPr>
                <w:rFonts w:cstheme="minorHAnsi"/>
                <w:sz w:val="20"/>
                <w:szCs w:val="20"/>
                <w:lang w:val="en-US"/>
              </w:rPr>
              <w:t>–</w:t>
            </w:r>
            <w:r w:rsidRPr="00480FDF">
              <w:rPr>
                <w:rFonts w:cstheme="minorHAnsi"/>
                <w:sz w:val="20"/>
                <w:szCs w:val="20"/>
                <w:lang w:val="en-US"/>
              </w:rPr>
              <w:t xml:space="preserve"> </w:t>
            </w:r>
            <w:r w:rsidRPr="00480FDF">
              <w:rPr>
                <w:rFonts w:cstheme="minorHAnsi"/>
                <w:b/>
                <w:sz w:val="20"/>
                <w:szCs w:val="20"/>
                <w:lang w:val="en-US"/>
              </w:rPr>
              <w:t>OTHR</w:t>
            </w:r>
          </w:p>
          <w:p w14:paraId="11118B8D" w14:textId="77777777" w:rsidR="00480FDF" w:rsidRPr="00480FDF" w:rsidRDefault="00480FDF" w:rsidP="00480FDF">
            <w:pPr>
              <w:rPr>
                <w:rFonts w:cstheme="minorHAnsi"/>
                <w:sz w:val="20"/>
                <w:szCs w:val="20"/>
                <w:lang w:val="en-US"/>
              </w:rPr>
            </w:pPr>
          </w:p>
          <w:p w14:paraId="544E8616" w14:textId="76C2C202" w:rsidR="00385CDE" w:rsidRPr="00480FDF" w:rsidRDefault="00385CDE" w:rsidP="00385CDE">
            <w:pPr>
              <w:rPr>
                <w:rFonts w:cstheme="minorHAnsi"/>
                <w:sz w:val="20"/>
                <w:szCs w:val="20"/>
                <w:u w:val="single"/>
                <w:lang w:val="en-US"/>
              </w:rPr>
            </w:pPr>
            <w:r w:rsidRPr="00480FDF">
              <w:rPr>
                <w:rFonts w:cstheme="minorHAnsi"/>
                <w:sz w:val="20"/>
                <w:szCs w:val="20"/>
                <w:u w:val="single"/>
                <w:lang w:val="en-US"/>
              </w:rPr>
              <w:t>Debt</w:t>
            </w:r>
          </w:p>
          <w:p w14:paraId="185E98C3" w14:textId="77777777" w:rsidR="00480FDF" w:rsidRDefault="00385CDE" w:rsidP="00480FDF">
            <w:pPr>
              <w:pStyle w:val="Lijstalinea"/>
              <w:numPr>
                <w:ilvl w:val="0"/>
                <w:numId w:val="3"/>
              </w:numPr>
              <w:rPr>
                <w:rFonts w:cstheme="minorHAnsi"/>
                <w:sz w:val="20"/>
                <w:szCs w:val="20"/>
                <w:lang w:val="en-US"/>
              </w:rPr>
            </w:pPr>
            <w:r w:rsidRPr="00480FDF">
              <w:rPr>
                <w:rFonts w:cstheme="minorHAnsi"/>
                <w:sz w:val="20"/>
                <w:szCs w:val="20"/>
                <w:lang w:val="en-US"/>
              </w:rPr>
              <w:t xml:space="preserve">Debt with denomination &lt; €100.000 – </w:t>
            </w:r>
            <w:r w:rsidRPr="00480FDF">
              <w:rPr>
                <w:rFonts w:cstheme="minorHAnsi"/>
                <w:b/>
                <w:sz w:val="20"/>
                <w:szCs w:val="20"/>
                <w:lang w:val="en-US"/>
              </w:rPr>
              <w:t>DWHD</w:t>
            </w:r>
          </w:p>
          <w:p w14:paraId="7471FBE0" w14:textId="77777777" w:rsidR="00480FDF" w:rsidRDefault="00385CDE" w:rsidP="00480FDF">
            <w:pPr>
              <w:pStyle w:val="Lijstalinea"/>
              <w:numPr>
                <w:ilvl w:val="0"/>
                <w:numId w:val="3"/>
              </w:numPr>
              <w:rPr>
                <w:rFonts w:cstheme="minorHAnsi"/>
                <w:sz w:val="20"/>
                <w:szCs w:val="20"/>
                <w:lang w:val="en-US"/>
              </w:rPr>
            </w:pPr>
            <w:r w:rsidRPr="00480FDF">
              <w:rPr>
                <w:rFonts w:cstheme="minorHAnsi"/>
                <w:sz w:val="20"/>
                <w:szCs w:val="20"/>
                <w:lang w:val="en-US"/>
              </w:rPr>
              <w:t xml:space="preserve">Debt with denomination ≥ €100.000 – </w:t>
            </w:r>
            <w:r w:rsidRPr="00480FDF">
              <w:rPr>
                <w:rFonts w:cstheme="minorHAnsi"/>
                <w:b/>
                <w:sz w:val="20"/>
                <w:szCs w:val="20"/>
                <w:lang w:val="en-US"/>
              </w:rPr>
              <w:t>DWLD</w:t>
            </w:r>
          </w:p>
          <w:p w14:paraId="09A1C556" w14:textId="6EBCC974" w:rsidR="00385CDE" w:rsidRDefault="00385CDE" w:rsidP="00480FDF">
            <w:pPr>
              <w:pStyle w:val="Lijstalinea"/>
              <w:numPr>
                <w:ilvl w:val="0"/>
                <w:numId w:val="3"/>
              </w:numPr>
              <w:rPr>
                <w:rFonts w:cstheme="minorHAnsi"/>
                <w:sz w:val="20"/>
                <w:szCs w:val="20"/>
                <w:lang w:val="en-US"/>
              </w:rPr>
            </w:pPr>
            <w:r w:rsidRPr="00480FDF">
              <w:rPr>
                <w:rFonts w:cstheme="minorHAnsi"/>
                <w:sz w:val="20"/>
                <w:szCs w:val="20"/>
                <w:lang w:val="en-US"/>
              </w:rPr>
              <w:t xml:space="preserve">Debt with denomination &lt; €100.000 available only to qualified investors </w:t>
            </w:r>
            <w:r w:rsidR="00480FDF">
              <w:rPr>
                <w:rFonts w:cstheme="minorHAnsi"/>
                <w:sz w:val="20"/>
                <w:szCs w:val="20"/>
                <w:lang w:val="en-US"/>
              </w:rPr>
              <w:t>–</w:t>
            </w:r>
            <w:r w:rsidRPr="00480FDF">
              <w:rPr>
                <w:rFonts w:cstheme="minorHAnsi"/>
                <w:sz w:val="20"/>
                <w:szCs w:val="20"/>
                <w:lang w:val="en-US"/>
              </w:rPr>
              <w:t xml:space="preserve"> </w:t>
            </w:r>
            <w:r w:rsidRPr="00480FDF">
              <w:rPr>
                <w:rFonts w:cstheme="minorHAnsi"/>
                <w:b/>
                <w:sz w:val="20"/>
                <w:szCs w:val="20"/>
                <w:lang w:val="en-US"/>
              </w:rPr>
              <w:t>DLRM</w:t>
            </w:r>
          </w:p>
          <w:p w14:paraId="088E4F0C" w14:textId="59A8BDED" w:rsidR="00480FDF" w:rsidRDefault="00480FDF" w:rsidP="00480FDF">
            <w:pPr>
              <w:rPr>
                <w:rFonts w:cstheme="minorHAnsi"/>
                <w:sz w:val="20"/>
                <w:szCs w:val="20"/>
                <w:lang w:val="en-US"/>
              </w:rPr>
            </w:pPr>
            <w:r>
              <w:rPr>
                <w:rFonts w:cstheme="minorHAnsi"/>
                <w:sz w:val="20"/>
                <w:szCs w:val="20"/>
                <w:u w:val="single"/>
                <w:lang w:val="en-US"/>
              </w:rPr>
              <w:t>Other</w:t>
            </w:r>
          </w:p>
          <w:p w14:paraId="1E1C3369" w14:textId="44589496" w:rsidR="00385CDE" w:rsidRPr="00543495" w:rsidRDefault="00385CDE" w:rsidP="00480FDF">
            <w:pPr>
              <w:pStyle w:val="Lijstalinea"/>
              <w:numPr>
                <w:ilvl w:val="0"/>
                <w:numId w:val="3"/>
              </w:numPr>
              <w:rPr>
                <w:rFonts w:cstheme="minorHAnsi"/>
                <w:sz w:val="20"/>
                <w:szCs w:val="20"/>
                <w:lang w:val="en-US"/>
              </w:rPr>
            </w:pPr>
            <w:r w:rsidRPr="00543495">
              <w:rPr>
                <w:rFonts w:cstheme="minorHAnsi"/>
                <w:sz w:val="20"/>
                <w:szCs w:val="20"/>
                <w:lang w:val="en-US"/>
              </w:rPr>
              <w:t xml:space="preserve">Depository receipts - </w:t>
            </w:r>
            <w:r w:rsidRPr="00480FDF">
              <w:rPr>
                <w:rFonts w:cstheme="minorHAnsi"/>
                <w:b/>
                <w:sz w:val="20"/>
                <w:szCs w:val="20"/>
                <w:lang w:val="en-US"/>
              </w:rPr>
              <w:t>DPRS</w:t>
            </w:r>
          </w:p>
          <w:p w14:paraId="3AECFB57" w14:textId="3AAED14B" w:rsidR="00385CDE" w:rsidRPr="00543495" w:rsidRDefault="00385CDE" w:rsidP="00480FDF">
            <w:pPr>
              <w:pStyle w:val="Lijstalinea"/>
              <w:numPr>
                <w:ilvl w:val="0"/>
                <w:numId w:val="3"/>
              </w:numPr>
              <w:rPr>
                <w:rFonts w:cstheme="minorHAnsi"/>
                <w:sz w:val="20"/>
                <w:szCs w:val="20"/>
                <w:lang w:val="en-US"/>
              </w:rPr>
            </w:pPr>
            <w:r w:rsidRPr="00543495">
              <w:rPr>
                <w:rFonts w:cstheme="minorHAnsi"/>
                <w:sz w:val="20"/>
                <w:szCs w:val="20"/>
                <w:lang w:val="en-US"/>
              </w:rPr>
              <w:t>A</w:t>
            </w:r>
            <w:r w:rsidR="00480FDF">
              <w:rPr>
                <w:rFonts w:cstheme="minorHAnsi"/>
                <w:sz w:val="20"/>
                <w:szCs w:val="20"/>
                <w:lang w:val="en-US"/>
              </w:rPr>
              <w:t xml:space="preserve">sset </w:t>
            </w:r>
            <w:r w:rsidRPr="00543495">
              <w:rPr>
                <w:rFonts w:cstheme="minorHAnsi"/>
                <w:sz w:val="20"/>
                <w:szCs w:val="20"/>
                <w:lang w:val="en-US"/>
              </w:rPr>
              <w:t>B</w:t>
            </w:r>
            <w:r w:rsidR="00480FDF">
              <w:rPr>
                <w:rFonts w:cstheme="minorHAnsi"/>
                <w:sz w:val="20"/>
                <w:szCs w:val="20"/>
                <w:lang w:val="en-US"/>
              </w:rPr>
              <w:t xml:space="preserve">acked </w:t>
            </w:r>
            <w:r w:rsidRPr="00543495">
              <w:rPr>
                <w:rFonts w:cstheme="minorHAnsi"/>
                <w:sz w:val="20"/>
                <w:szCs w:val="20"/>
                <w:lang w:val="en-US"/>
              </w:rPr>
              <w:t>S</w:t>
            </w:r>
            <w:r w:rsidR="00480FDF">
              <w:rPr>
                <w:rFonts w:cstheme="minorHAnsi"/>
                <w:sz w:val="20"/>
                <w:szCs w:val="20"/>
                <w:lang w:val="en-US"/>
              </w:rPr>
              <w:t>ecurities</w:t>
            </w:r>
            <w:r w:rsidRPr="00543495">
              <w:rPr>
                <w:rFonts w:cstheme="minorHAnsi"/>
                <w:sz w:val="20"/>
                <w:szCs w:val="20"/>
                <w:lang w:val="en-US"/>
              </w:rPr>
              <w:t xml:space="preserve"> - </w:t>
            </w:r>
            <w:r w:rsidRPr="00480FDF">
              <w:rPr>
                <w:rFonts w:cstheme="minorHAnsi"/>
                <w:b/>
                <w:sz w:val="20"/>
                <w:szCs w:val="20"/>
                <w:lang w:val="en-US"/>
              </w:rPr>
              <w:t>ABSE</w:t>
            </w:r>
          </w:p>
          <w:p w14:paraId="30731B4A" w14:textId="3842248B" w:rsidR="00385CDE" w:rsidRPr="00543495" w:rsidRDefault="00385CDE" w:rsidP="00480FDF">
            <w:pPr>
              <w:pStyle w:val="Lijstalinea"/>
              <w:numPr>
                <w:ilvl w:val="0"/>
                <w:numId w:val="3"/>
              </w:numPr>
              <w:rPr>
                <w:rFonts w:cstheme="minorHAnsi"/>
                <w:sz w:val="20"/>
                <w:szCs w:val="20"/>
                <w:lang w:val="en-US"/>
              </w:rPr>
            </w:pPr>
            <w:r w:rsidRPr="00543495">
              <w:rPr>
                <w:rFonts w:cstheme="minorHAnsi"/>
                <w:sz w:val="20"/>
                <w:szCs w:val="20"/>
                <w:lang w:val="en-US"/>
              </w:rPr>
              <w:t xml:space="preserve">Derivative securities - </w:t>
            </w:r>
            <w:r w:rsidRPr="00480FDF">
              <w:rPr>
                <w:rFonts w:cstheme="minorHAnsi"/>
                <w:b/>
                <w:sz w:val="20"/>
                <w:szCs w:val="20"/>
                <w:lang w:val="en-US"/>
              </w:rPr>
              <w:t>DERV</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AEAA1D3" w14:textId="77777777" w:rsidR="00385CDE" w:rsidRPr="00543495" w:rsidRDefault="00385CDE" w:rsidP="00385CDE">
            <w:pPr>
              <w:rPr>
                <w:rFonts w:cstheme="minorHAnsi"/>
                <w:sz w:val="20"/>
                <w:szCs w:val="20"/>
                <w:lang w:val="en-US"/>
              </w:rPr>
            </w:pPr>
          </w:p>
        </w:tc>
      </w:tr>
      <w:tr w:rsidR="00385CDE" w:rsidRPr="00D53F17" w14:paraId="5AF436A6" w14:textId="77777777" w:rsidTr="00535F3D">
        <w:tc>
          <w:tcPr>
            <w:tcW w:w="1129" w:type="dxa"/>
            <w:tcBorders>
              <w:top w:val="single" w:sz="4" w:space="0" w:color="auto"/>
              <w:bottom w:val="single" w:sz="4" w:space="0" w:color="auto"/>
              <w:right w:val="single" w:sz="4" w:space="0" w:color="auto"/>
            </w:tcBorders>
            <w:shd w:val="clear" w:color="auto" w:fill="F2F2F2" w:themeFill="background1" w:themeFillShade="F2"/>
          </w:tcPr>
          <w:p w14:paraId="3FF89FC1" w14:textId="77777777" w:rsidR="00385CDE" w:rsidRPr="00543495" w:rsidRDefault="00385CDE" w:rsidP="00385CDE">
            <w:pPr>
              <w:spacing w:before="60" w:after="60"/>
              <w:rPr>
                <w:rFonts w:eastAsia="Times New Roman" w:cstheme="minorHAnsi"/>
                <w:color w:val="000000"/>
                <w:sz w:val="20"/>
                <w:szCs w:val="20"/>
                <w:lang w:eastAsia="nl-NL"/>
              </w:rPr>
            </w:pPr>
            <w:r w:rsidRPr="00543495">
              <w:rPr>
                <w:rFonts w:eastAsia="Times New Roman" w:cstheme="minorHAnsi"/>
                <w:color w:val="000000"/>
                <w:sz w:val="20"/>
                <w:szCs w:val="20"/>
                <w:lang w:eastAsia="nl-NL"/>
              </w:rPr>
              <w:lastRenderedPageBreak/>
              <w:t>Type of offer/</w:t>
            </w:r>
            <w:proofErr w:type="spellStart"/>
            <w:r w:rsidRPr="00543495">
              <w:rPr>
                <w:rFonts w:eastAsia="Times New Roman" w:cstheme="minorHAnsi"/>
                <w:color w:val="000000"/>
                <w:sz w:val="20"/>
                <w:szCs w:val="20"/>
                <w:lang w:eastAsia="nl-NL"/>
              </w:rPr>
              <w:t>admission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15814F" w14:textId="77777777" w:rsidR="00385CDE" w:rsidRPr="00543495" w:rsidRDefault="00385CDE" w:rsidP="00385CD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Taxonomy according to PR and MiFID/MIFIR</w:t>
            </w: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3B9856" w14:textId="77777777" w:rsidR="00535F3D" w:rsidRPr="00543495" w:rsidRDefault="00535F3D" w:rsidP="00535F3D">
            <w:pPr>
              <w:rPr>
                <w:rFonts w:cstheme="minorHAnsi"/>
                <w:sz w:val="20"/>
                <w:szCs w:val="20"/>
                <w:lang w:val="en-US"/>
              </w:rPr>
            </w:pPr>
            <w:r w:rsidRPr="00543495">
              <w:rPr>
                <w:rFonts w:cstheme="minorHAnsi"/>
                <w:sz w:val="20"/>
                <w:szCs w:val="20"/>
                <w:lang w:val="en-US"/>
              </w:rPr>
              <w:t>Choice from list of predefined fields:</w:t>
            </w:r>
          </w:p>
          <w:p w14:paraId="31CFE90E" w14:textId="77777777" w:rsidR="00535F3D" w:rsidRDefault="00535F3D" w:rsidP="00385CDE">
            <w:pPr>
              <w:rPr>
                <w:rFonts w:cstheme="minorHAnsi"/>
                <w:sz w:val="20"/>
                <w:szCs w:val="20"/>
                <w:lang w:val="en-US"/>
              </w:rPr>
            </w:pPr>
          </w:p>
          <w:p w14:paraId="140E9782" w14:textId="2904A237" w:rsidR="00385CDE" w:rsidRPr="00543495" w:rsidRDefault="00535F3D" w:rsidP="00385CDE">
            <w:pPr>
              <w:rPr>
                <w:rFonts w:cstheme="minorHAnsi"/>
                <w:sz w:val="20"/>
                <w:szCs w:val="20"/>
                <w:lang w:val="en-US"/>
              </w:rPr>
            </w:pPr>
            <w:r>
              <w:rPr>
                <w:rFonts w:cstheme="minorHAnsi"/>
                <w:sz w:val="20"/>
                <w:szCs w:val="20"/>
                <w:lang w:val="en-US"/>
              </w:rPr>
              <w:t xml:space="preserve">A) </w:t>
            </w:r>
            <w:r w:rsidR="00385CDE" w:rsidRPr="00543495">
              <w:rPr>
                <w:rFonts w:cstheme="minorHAnsi"/>
                <w:sz w:val="20"/>
                <w:szCs w:val="20"/>
                <w:lang w:val="en-US"/>
              </w:rPr>
              <w:t xml:space="preserve">Initial offer without admission to trading / listing - </w:t>
            </w:r>
            <w:r w:rsidR="00385CDE" w:rsidRPr="00535F3D">
              <w:rPr>
                <w:rFonts w:cstheme="minorHAnsi"/>
                <w:b/>
                <w:sz w:val="20"/>
                <w:szCs w:val="20"/>
                <w:lang w:val="en-US"/>
              </w:rPr>
              <w:t>IOWA</w:t>
            </w:r>
          </w:p>
          <w:p w14:paraId="0ED7079C" w14:textId="7882202F" w:rsidR="00385CDE" w:rsidRPr="00543495" w:rsidRDefault="00535F3D" w:rsidP="00385CDE">
            <w:pPr>
              <w:rPr>
                <w:rFonts w:cstheme="minorHAnsi"/>
                <w:sz w:val="20"/>
                <w:szCs w:val="20"/>
                <w:lang w:val="en-US"/>
              </w:rPr>
            </w:pPr>
            <w:r>
              <w:rPr>
                <w:rFonts w:cstheme="minorHAnsi"/>
                <w:sz w:val="20"/>
                <w:szCs w:val="20"/>
                <w:lang w:val="en-US"/>
              </w:rPr>
              <w:t xml:space="preserve">B) </w:t>
            </w:r>
            <w:r w:rsidR="00385CDE" w:rsidRPr="00543495">
              <w:rPr>
                <w:rFonts w:cstheme="minorHAnsi"/>
                <w:sz w:val="20"/>
                <w:szCs w:val="20"/>
                <w:lang w:val="en-US"/>
              </w:rPr>
              <w:t xml:space="preserve">Secondary offer without admission to trading / listing - </w:t>
            </w:r>
            <w:r w:rsidR="00385CDE" w:rsidRPr="00535F3D">
              <w:rPr>
                <w:rFonts w:cstheme="minorHAnsi"/>
                <w:b/>
                <w:sz w:val="20"/>
                <w:szCs w:val="20"/>
                <w:lang w:val="en-US"/>
              </w:rPr>
              <w:t>SOWA</w:t>
            </w:r>
          </w:p>
          <w:p w14:paraId="6A4B93AE" w14:textId="0A2A2815" w:rsidR="00385CDE" w:rsidRPr="00543495" w:rsidRDefault="00535F3D" w:rsidP="00385CDE">
            <w:pPr>
              <w:rPr>
                <w:rFonts w:cstheme="minorHAnsi"/>
                <w:sz w:val="20"/>
                <w:szCs w:val="20"/>
                <w:lang w:val="en-US"/>
              </w:rPr>
            </w:pPr>
            <w:r>
              <w:rPr>
                <w:rFonts w:cstheme="minorHAnsi"/>
                <w:sz w:val="20"/>
                <w:szCs w:val="20"/>
                <w:lang w:val="en-US"/>
              </w:rPr>
              <w:t xml:space="preserve">C) </w:t>
            </w:r>
            <w:r w:rsidR="00385CDE" w:rsidRPr="00543495">
              <w:rPr>
                <w:rFonts w:cstheme="minorHAnsi"/>
                <w:sz w:val="20"/>
                <w:szCs w:val="20"/>
                <w:lang w:val="en-US"/>
              </w:rPr>
              <w:t xml:space="preserve">Initial admission to trading on regulated market - </w:t>
            </w:r>
            <w:r w:rsidR="00385CDE" w:rsidRPr="00535F3D">
              <w:rPr>
                <w:rFonts w:cstheme="minorHAnsi"/>
                <w:b/>
                <w:sz w:val="20"/>
                <w:szCs w:val="20"/>
                <w:lang w:val="en-US"/>
              </w:rPr>
              <w:t>IRMT</w:t>
            </w:r>
          </w:p>
          <w:p w14:paraId="706D7A43" w14:textId="76421111" w:rsidR="00385CDE" w:rsidRPr="00543495" w:rsidRDefault="00535F3D" w:rsidP="00385CDE">
            <w:pPr>
              <w:rPr>
                <w:rFonts w:cstheme="minorHAnsi"/>
                <w:sz w:val="20"/>
                <w:szCs w:val="20"/>
                <w:lang w:val="en-US"/>
              </w:rPr>
            </w:pPr>
            <w:r>
              <w:rPr>
                <w:rFonts w:cstheme="minorHAnsi"/>
                <w:sz w:val="20"/>
                <w:szCs w:val="20"/>
                <w:lang w:val="en-US"/>
              </w:rPr>
              <w:t xml:space="preserve">D) </w:t>
            </w:r>
            <w:r w:rsidR="00385CDE" w:rsidRPr="00543495">
              <w:rPr>
                <w:rFonts w:cstheme="minorHAnsi"/>
                <w:sz w:val="20"/>
                <w:szCs w:val="20"/>
                <w:lang w:val="en-US"/>
              </w:rPr>
              <w:t xml:space="preserve">Initial admission to trading on regulated market from previously being traded on MTF - </w:t>
            </w:r>
            <w:r w:rsidR="00385CDE" w:rsidRPr="00535F3D">
              <w:rPr>
                <w:rFonts w:cstheme="minorHAnsi"/>
                <w:b/>
                <w:sz w:val="20"/>
                <w:szCs w:val="20"/>
                <w:lang w:val="en-US"/>
              </w:rPr>
              <w:t>IPTM</w:t>
            </w:r>
          </w:p>
          <w:p w14:paraId="32F84670" w14:textId="0ABF0E1C" w:rsidR="00385CDE" w:rsidRPr="00543495" w:rsidRDefault="00535F3D" w:rsidP="00385CDE">
            <w:pPr>
              <w:rPr>
                <w:rFonts w:cstheme="minorHAnsi"/>
                <w:sz w:val="20"/>
                <w:szCs w:val="20"/>
                <w:lang w:val="en-US"/>
              </w:rPr>
            </w:pPr>
            <w:r>
              <w:rPr>
                <w:rFonts w:cstheme="minorHAnsi"/>
                <w:sz w:val="20"/>
                <w:szCs w:val="20"/>
                <w:lang w:val="en-US"/>
              </w:rPr>
              <w:t xml:space="preserve">E) </w:t>
            </w:r>
            <w:r w:rsidR="00385CDE" w:rsidRPr="00543495">
              <w:rPr>
                <w:rFonts w:cstheme="minorHAnsi"/>
                <w:sz w:val="20"/>
                <w:szCs w:val="20"/>
                <w:lang w:val="en-US"/>
              </w:rPr>
              <w:t xml:space="preserve">Initial admission to trading on MTF with offer to the </w:t>
            </w:r>
            <w:proofErr w:type="gramStart"/>
            <w:r w:rsidR="00385CDE" w:rsidRPr="00543495">
              <w:rPr>
                <w:rFonts w:cstheme="minorHAnsi"/>
                <w:sz w:val="20"/>
                <w:szCs w:val="20"/>
                <w:lang w:val="en-US"/>
              </w:rPr>
              <w:t>public  -</w:t>
            </w:r>
            <w:proofErr w:type="gramEnd"/>
            <w:r w:rsidR="00385CDE" w:rsidRPr="00543495">
              <w:rPr>
                <w:rFonts w:cstheme="minorHAnsi"/>
                <w:sz w:val="20"/>
                <w:szCs w:val="20"/>
                <w:lang w:val="en-US"/>
              </w:rPr>
              <w:t xml:space="preserve"> </w:t>
            </w:r>
            <w:r w:rsidR="00385CDE" w:rsidRPr="00535F3D">
              <w:rPr>
                <w:rFonts w:cstheme="minorHAnsi"/>
                <w:b/>
                <w:sz w:val="20"/>
                <w:szCs w:val="20"/>
                <w:lang w:val="en-US"/>
              </w:rPr>
              <w:t>IMTF</w:t>
            </w:r>
          </w:p>
          <w:p w14:paraId="79B31851" w14:textId="6DC7A41F" w:rsidR="00385CDE" w:rsidRPr="00543495" w:rsidRDefault="00535F3D" w:rsidP="00385CDE">
            <w:pPr>
              <w:rPr>
                <w:rFonts w:cstheme="minorHAnsi"/>
                <w:sz w:val="20"/>
                <w:szCs w:val="20"/>
                <w:lang w:val="en-US"/>
              </w:rPr>
            </w:pPr>
            <w:r>
              <w:rPr>
                <w:rFonts w:cstheme="minorHAnsi"/>
                <w:sz w:val="20"/>
                <w:szCs w:val="20"/>
                <w:lang w:val="en-US"/>
              </w:rPr>
              <w:t xml:space="preserve">F) </w:t>
            </w:r>
            <w:r w:rsidR="00385CDE" w:rsidRPr="00543495">
              <w:rPr>
                <w:rFonts w:cstheme="minorHAnsi"/>
                <w:sz w:val="20"/>
                <w:szCs w:val="20"/>
                <w:lang w:val="en-US"/>
              </w:rPr>
              <w:t xml:space="preserve">Secondary issuance on regulated market or MTF - </w:t>
            </w:r>
            <w:r w:rsidR="00385CDE" w:rsidRPr="00535F3D">
              <w:rPr>
                <w:rFonts w:cstheme="minorHAnsi"/>
                <w:b/>
                <w:sz w:val="20"/>
                <w:szCs w:val="20"/>
                <w:lang w:val="en-US"/>
              </w:rPr>
              <w:t>SIRM</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6B8CF43" w14:textId="77777777" w:rsidR="00385CDE" w:rsidRPr="00543495" w:rsidRDefault="00385CDE" w:rsidP="00385CDE">
            <w:pPr>
              <w:rPr>
                <w:rFonts w:cstheme="minorHAnsi"/>
                <w:sz w:val="20"/>
                <w:szCs w:val="20"/>
                <w:lang w:val="en-US"/>
              </w:rPr>
            </w:pPr>
          </w:p>
        </w:tc>
      </w:tr>
      <w:tr w:rsidR="00385CDE" w:rsidRPr="00D53F17" w14:paraId="7FC750AD" w14:textId="77777777" w:rsidTr="00535F3D">
        <w:tc>
          <w:tcPr>
            <w:tcW w:w="1129" w:type="dxa"/>
            <w:tcBorders>
              <w:top w:val="single" w:sz="4" w:space="0" w:color="auto"/>
              <w:bottom w:val="single" w:sz="4" w:space="0" w:color="auto"/>
              <w:right w:val="single" w:sz="4" w:space="0" w:color="auto"/>
            </w:tcBorders>
            <w:shd w:val="clear" w:color="auto" w:fill="F2F2F2" w:themeFill="background1" w:themeFillShade="F2"/>
          </w:tcPr>
          <w:p w14:paraId="65E15B10" w14:textId="77777777" w:rsidR="00385CDE" w:rsidRPr="00543495" w:rsidRDefault="00385CDE" w:rsidP="00385CD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Characteristics of the trading venue where the security is initially admitted to trading</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6F7013" w14:textId="77777777" w:rsidR="00385CDE" w:rsidRPr="00543495" w:rsidRDefault="00385CDE" w:rsidP="00385CD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Taxonomy according to PR and MiFID/MIFIR</w:t>
            </w: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2B34A8" w14:textId="77777777" w:rsidR="00385CDE" w:rsidRPr="00543495" w:rsidRDefault="00385CDE" w:rsidP="00385CDE">
            <w:pPr>
              <w:rPr>
                <w:rFonts w:cstheme="minorHAnsi"/>
                <w:sz w:val="20"/>
                <w:szCs w:val="20"/>
                <w:lang w:val="en-US"/>
              </w:rPr>
            </w:pPr>
            <w:r w:rsidRPr="00543495">
              <w:rPr>
                <w:rFonts w:cstheme="minorHAnsi"/>
                <w:sz w:val="20"/>
                <w:szCs w:val="20"/>
                <w:lang w:val="en-US"/>
              </w:rPr>
              <w:t>Choice from list of predefined fields:</w:t>
            </w:r>
          </w:p>
          <w:p w14:paraId="6AC8C0F7" w14:textId="77777777" w:rsidR="00535F3D" w:rsidRDefault="00535F3D" w:rsidP="00385CDE">
            <w:pPr>
              <w:rPr>
                <w:rFonts w:cstheme="minorHAnsi"/>
                <w:sz w:val="20"/>
                <w:szCs w:val="20"/>
                <w:lang w:val="en-US"/>
              </w:rPr>
            </w:pPr>
          </w:p>
          <w:p w14:paraId="4390143B" w14:textId="35FBC646" w:rsidR="00385CDE" w:rsidRPr="00543495" w:rsidRDefault="00535F3D" w:rsidP="00385CDE">
            <w:pPr>
              <w:rPr>
                <w:rFonts w:cstheme="minorHAnsi"/>
                <w:sz w:val="20"/>
                <w:szCs w:val="20"/>
                <w:lang w:val="en-US"/>
              </w:rPr>
            </w:pPr>
            <w:r>
              <w:rPr>
                <w:rFonts w:cstheme="minorHAnsi"/>
                <w:sz w:val="20"/>
                <w:szCs w:val="20"/>
                <w:lang w:val="en-US"/>
              </w:rPr>
              <w:t xml:space="preserve">A) </w:t>
            </w:r>
            <w:r w:rsidR="00385CDE" w:rsidRPr="00543495">
              <w:rPr>
                <w:rFonts w:cstheme="minorHAnsi"/>
                <w:sz w:val="20"/>
                <w:szCs w:val="20"/>
                <w:lang w:val="en-US"/>
              </w:rPr>
              <w:t xml:space="preserve">Regulated market open to all investors - </w:t>
            </w:r>
            <w:r w:rsidR="00385CDE" w:rsidRPr="00535F3D">
              <w:rPr>
                <w:rFonts w:cstheme="minorHAnsi"/>
                <w:b/>
                <w:sz w:val="20"/>
                <w:szCs w:val="20"/>
                <w:lang w:val="en-US"/>
              </w:rPr>
              <w:t>RMKT</w:t>
            </w:r>
          </w:p>
          <w:p w14:paraId="0964F760" w14:textId="5E6CFEC2" w:rsidR="00385CDE" w:rsidRPr="00543495" w:rsidRDefault="00535F3D" w:rsidP="00385CDE">
            <w:pPr>
              <w:rPr>
                <w:rFonts w:cstheme="minorHAnsi"/>
                <w:sz w:val="20"/>
                <w:szCs w:val="20"/>
                <w:lang w:val="en-US"/>
              </w:rPr>
            </w:pPr>
            <w:r>
              <w:rPr>
                <w:rFonts w:cstheme="minorHAnsi"/>
                <w:sz w:val="20"/>
                <w:szCs w:val="20"/>
                <w:lang w:val="en-US"/>
              </w:rPr>
              <w:t xml:space="preserve">B) </w:t>
            </w:r>
            <w:r w:rsidR="00385CDE" w:rsidRPr="00543495">
              <w:rPr>
                <w:rFonts w:cstheme="minorHAnsi"/>
                <w:sz w:val="20"/>
                <w:szCs w:val="20"/>
                <w:lang w:val="en-US"/>
              </w:rPr>
              <w:t xml:space="preserve">RM, or segment thereof, limited to qualified investors - </w:t>
            </w:r>
            <w:r w:rsidR="00385CDE" w:rsidRPr="00535F3D">
              <w:rPr>
                <w:rFonts w:cstheme="minorHAnsi"/>
                <w:b/>
                <w:sz w:val="20"/>
                <w:szCs w:val="20"/>
                <w:lang w:val="en-US"/>
              </w:rPr>
              <w:t>RMQI</w:t>
            </w:r>
          </w:p>
          <w:p w14:paraId="0172CC7C" w14:textId="3EAC48B7" w:rsidR="00385CDE" w:rsidRPr="00543495" w:rsidRDefault="00535F3D" w:rsidP="00385CDE">
            <w:pPr>
              <w:rPr>
                <w:rFonts w:cstheme="minorHAnsi"/>
                <w:sz w:val="20"/>
                <w:szCs w:val="20"/>
                <w:lang w:val="en-US"/>
              </w:rPr>
            </w:pPr>
            <w:r>
              <w:rPr>
                <w:rFonts w:cstheme="minorHAnsi"/>
                <w:sz w:val="20"/>
                <w:szCs w:val="20"/>
                <w:lang w:val="en-US"/>
              </w:rPr>
              <w:t xml:space="preserve">C) </w:t>
            </w:r>
            <w:r w:rsidR="00385CDE" w:rsidRPr="00543495">
              <w:rPr>
                <w:rFonts w:cstheme="minorHAnsi"/>
                <w:sz w:val="20"/>
                <w:szCs w:val="20"/>
                <w:lang w:val="en-US"/>
              </w:rPr>
              <w:t xml:space="preserve">MTF which is an SME growth market - </w:t>
            </w:r>
            <w:r w:rsidR="00385CDE" w:rsidRPr="00535F3D">
              <w:rPr>
                <w:rFonts w:cstheme="minorHAnsi"/>
                <w:b/>
                <w:sz w:val="20"/>
                <w:szCs w:val="20"/>
                <w:lang w:val="en-US"/>
              </w:rPr>
              <w:t>MSGM</w:t>
            </w:r>
          </w:p>
          <w:p w14:paraId="2C1B63C6" w14:textId="6DE17E63" w:rsidR="00385CDE" w:rsidRPr="00543495" w:rsidRDefault="00535F3D" w:rsidP="00385CDE">
            <w:pPr>
              <w:rPr>
                <w:rFonts w:cstheme="minorHAnsi"/>
                <w:sz w:val="20"/>
                <w:szCs w:val="20"/>
                <w:lang w:val="en-US"/>
              </w:rPr>
            </w:pPr>
            <w:r>
              <w:rPr>
                <w:rFonts w:cstheme="minorHAnsi"/>
                <w:sz w:val="20"/>
                <w:szCs w:val="20"/>
                <w:lang w:val="en-US"/>
              </w:rPr>
              <w:t xml:space="preserve">D) </w:t>
            </w:r>
            <w:r w:rsidR="00385CDE" w:rsidRPr="00543495">
              <w:rPr>
                <w:rFonts w:cstheme="minorHAnsi"/>
                <w:sz w:val="20"/>
                <w:szCs w:val="20"/>
                <w:lang w:val="en-US"/>
              </w:rPr>
              <w:t xml:space="preserve">MTF which is not an SME growth market - </w:t>
            </w:r>
            <w:r w:rsidR="00385CDE" w:rsidRPr="00535F3D">
              <w:rPr>
                <w:rFonts w:cstheme="minorHAnsi"/>
                <w:b/>
                <w:sz w:val="20"/>
                <w:szCs w:val="20"/>
                <w:lang w:val="en-US"/>
              </w:rPr>
              <w:t>MLTF</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1CF7BA6" w14:textId="77777777" w:rsidR="00385CDE" w:rsidRPr="00543495" w:rsidRDefault="00385CDE" w:rsidP="00385CDE">
            <w:pPr>
              <w:rPr>
                <w:rFonts w:cstheme="minorHAnsi"/>
                <w:sz w:val="20"/>
                <w:szCs w:val="20"/>
                <w:lang w:val="en-US"/>
              </w:rPr>
            </w:pPr>
          </w:p>
        </w:tc>
      </w:tr>
      <w:tr w:rsidR="00385CDE" w:rsidRPr="00D53F17" w14:paraId="2731E40B" w14:textId="77777777" w:rsidTr="00535F3D">
        <w:tc>
          <w:tcPr>
            <w:tcW w:w="1129" w:type="dxa"/>
            <w:tcBorders>
              <w:top w:val="single" w:sz="4" w:space="0" w:color="auto"/>
              <w:bottom w:val="single" w:sz="4" w:space="0" w:color="auto"/>
              <w:right w:val="single" w:sz="4" w:space="0" w:color="auto"/>
            </w:tcBorders>
            <w:shd w:val="clear" w:color="auto" w:fill="F2F2F2" w:themeFill="background1" w:themeFillShade="F2"/>
          </w:tcPr>
          <w:p w14:paraId="1C6EFC57" w14:textId="77777777" w:rsidR="00385CDE" w:rsidRPr="00543495" w:rsidRDefault="00385CDE" w:rsidP="00385CDE">
            <w:pPr>
              <w:spacing w:before="60" w:after="60"/>
              <w:rPr>
                <w:rFonts w:eastAsia="Times New Roman" w:cstheme="minorHAnsi"/>
                <w:color w:val="000000"/>
                <w:sz w:val="20"/>
                <w:szCs w:val="20"/>
                <w:lang w:eastAsia="nl-NL"/>
              </w:rPr>
            </w:pPr>
            <w:r w:rsidRPr="00543495">
              <w:rPr>
                <w:rFonts w:eastAsia="Times New Roman" w:cstheme="minorHAnsi"/>
                <w:color w:val="000000"/>
                <w:sz w:val="20"/>
                <w:szCs w:val="20"/>
                <w:lang w:eastAsia="nl-NL"/>
              </w:rPr>
              <w:t xml:space="preserve">EU </w:t>
            </w:r>
            <w:proofErr w:type="spellStart"/>
            <w:r w:rsidRPr="00543495">
              <w:rPr>
                <w:rFonts w:eastAsia="Times New Roman" w:cstheme="minorHAnsi"/>
                <w:color w:val="000000"/>
                <w:sz w:val="20"/>
                <w:szCs w:val="20"/>
                <w:lang w:eastAsia="nl-NL"/>
              </w:rPr>
              <w:t>Growth</w:t>
            </w:r>
            <w:proofErr w:type="spellEnd"/>
            <w:r w:rsidRPr="00543495">
              <w:rPr>
                <w:rFonts w:eastAsia="Times New Roman" w:cstheme="minorHAnsi"/>
                <w:color w:val="000000"/>
                <w:sz w:val="20"/>
                <w:szCs w:val="20"/>
                <w:lang w:eastAsia="nl-NL"/>
              </w:rPr>
              <w:t xml:space="preserve"> prospectus </w:t>
            </w:r>
            <w:proofErr w:type="spellStart"/>
            <w:r w:rsidRPr="00543495">
              <w:rPr>
                <w:rFonts w:eastAsia="Times New Roman" w:cstheme="minorHAnsi"/>
                <w:color w:val="000000"/>
                <w:sz w:val="20"/>
                <w:szCs w:val="20"/>
                <w:lang w:eastAsia="nl-NL"/>
              </w:rPr>
              <w:t>category</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D35EA9" w14:textId="77777777" w:rsidR="00385CDE" w:rsidRPr="00543495" w:rsidRDefault="00385CDE" w:rsidP="00385CDE">
            <w:pPr>
              <w:spacing w:before="60" w:after="60"/>
              <w:rPr>
                <w:rFonts w:eastAsia="Times New Roman" w:cstheme="minorHAnsi"/>
                <w:color w:val="000000"/>
                <w:sz w:val="20"/>
                <w:szCs w:val="20"/>
                <w:lang w:val="en-US" w:eastAsia="nl-NL"/>
              </w:rPr>
            </w:pPr>
            <w:r w:rsidRPr="00543495">
              <w:rPr>
                <w:rFonts w:eastAsia="Times New Roman" w:cstheme="minorHAnsi"/>
                <w:color w:val="000000"/>
                <w:sz w:val="20"/>
                <w:szCs w:val="20"/>
                <w:lang w:val="en-US" w:eastAsia="nl-NL"/>
              </w:rPr>
              <w:t>Reason based on which an EU Growth prospectus has been used</w:t>
            </w:r>
          </w:p>
        </w:tc>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E3570F" w14:textId="7C1BF47D" w:rsidR="00385CDE" w:rsidRPr="00543495" w:rsidRDefault="004B54EC" w:rsidP="00385CDE">
            <w:pPr>
              <w:spacing w:before="60" w:after="60"/>
              <w:rPr>
                <w:rFonts w:eastAsia="Times New Roman" w:cstheme="minorHAnsi"/>
                <w:color w:val="000000"/>
                <w:sz w:val="20"/>
                <w:szCs w:val="20"/>
                <w:lang w:val="en-US" w:eastAsia="nl-NL"/>
              </w:rPr>
            </w:pPr>
            <w:r>
              <w:rPr>
                <w:rFonts w:eastAsia="Times New Roman" w:cstheme="minorHAnsi"/>
                <w:color w:val="000000"/>
                <w:sz w:val="20"/>
                <w:szCs w:val="20"/>
                <w:lang w:val="en-US" w:eastAsia="nl-NL"/>
              </w:rPr>
              <w:t xml:space="preserve">If the EU Growth prospectus regime is applied, the legal ground must be </w:t>
            </w:r>
            <w:r w:rsidR="00535F3D">
              <w:rPr>
                <w:rFonts w:eastAsia="Times New Roman" w:cstheme="minorHAnsi"/>
                <w:color w:val="000000"/>
                <w:sz w:val="20"/>
                <w:szCs w:val="20"/>
                <w:lang w:val="en-US" w:eastAsia="nl-NL"/>
              </w:rPr>
              <w:t xml:space="preserve">given. Please choose </w:t>
            </w:r>
            <w:r w:rsidR="00385CDE" w:rsidRPr="00543495">
              <w:rPr>
                <w:rFonts w:eastAsia="Times New Roman" w:cstheme="minorHAnsi"/>
                <w:color w:val="000000"/>
                <w:sz w:val="20"/>
                <w:szCs w:val="20"/>
                <w:lang w:val="en-US" w:eastAsia="nl-NL"/>
              </w:rPr>
              <w:t xml:space="preserve">from </w:t>
            </w:r>
            <w:r w:rsidR="00535F3D">
              <w:rPr>
                <w:rFonts w:eastAsia="Times New Roman" w:cstheme="minorHAnsi"/>
                <w:color w:val="000000"/>
                <w:sz w:val="20"/>
                <w:szCs w:val="20"/>
                <w:lang w:val="en-US" w:eastAsia="nl-NL"/>
              </w:rPr>
              <w:t xml:space="preserve">this </w:t>
            </w:r>
            <w:r w:rsidR="00385CDE" w:rsidRPr="00543495">
              <w:rPr>
                <w:rFonts w:eastAsia="Times New Roman" w:cstheme="minorHAnsi"/>
                <w:color w:val="000000"/>
                <w:sz w:val="20"/>
                <w:szCs w:val="20"/>
                <w:lang w:val="en-US" w:eastAsia="nl-NL"/>
              </w:rPr>
              <w:t>list of predefined fields:</w:t>
            </w:r>
          </w:p>
          <w:p w14:paraId="53988A64" w14:textId="3C323EBD" w:rsidR="00535F3D" w:rsidRDefault="00535F3D" w:rsidP="00535F3D">
            <w:pPr>
              <w:pStyle w:val="Lijstalinea"/>
              <w:numPr>
                <w:ilvl w:val="0"/>
                <w:numId w:val="2"/>
              </w:numPr>
              <w:ind w:left="462"/>
              <w:rPr>
                <w:rFonts w:cstheme="minorHAnsi"/>
                <w:sz w:val="20"/>
                <w:szCs w:val="20"/>
                <w:lang w:val="en-US"/>
              </w:rPr>
            </w:pPr>
            <w:r w:rsidRPr="00535F3D">
              <w:rPr>
                <w:rFonts w:cstheme="minorHAnsi"/>
                <w:b/>
                <w:sz w:val="20"/>
                <w:szCs w:val="20"/>
                <w:lang w:val="en-US"/>
              </w:rPr>
              <w:t>S15A</w:t>
            </w:r>
            <w:r w:rsidRPr="00535F3D">
              <w:rPr>
                <w:rFonts w:cstheme="minorHAnsi"/>
                <w:sz w:val="20"/>
                <w:szCs w:val="20"/>
                <w:lang w:val="en-US"/>
              </w:rPr>
              <w:t>: SME under PR Article 15(1)(a)</w:t>
            </w:r>
          </w:p>
          <w:p w14:paraId="359ED1A9" w14:textId="41AA6ECA" w:rsidR="00535F3D" w:rsidRDefault="00535F3D" w:rsidP="00535F3D">
            <w:pPr>
              <w:pStyle w:val="Lijstalinea"/>
              <w:numPr>
                <w:ilvl w:val="0"/>
                <w:numId w:val="2"/>
              </w:numPr>
              <w:ind w:left="462"/>
              <w:rPr>
                <w:rFonts w:cstheme="minorHAnsi"/>
                <w:sz w:val="20"/>
                <w:szCs w:val="20"/>
                <w:lang w:val="en-US"/>
              </w:rPr>
            </w:pPr>
            <w:r w:rsidRPr="00535F3D">
              <w:rPr>
                <w:rFonts w:cstheme="minorHAnsi"/>
                <w:b/>
                <w:sz w:val="20"/>
                <w:szCs w:val="20"/>
                <w:lang w:val="en-US"/>
              </w:rPr>
              <w:t>I15B</w:t>
            </w:r>
            <w:r w:rsidRPr="00535F3D">
              <w:rPr>
                <w:rFonts w:cstheme="minorHAnsi"/>
                <w:sz w:val="20"/>
                <w:szCs w:val="20"/>
                <w:lang w:val="en-US"/>
              </w:rPr>
              <w:t>: Issuer other than SME under PR Article 15(1)(b)</w:t>
            </w:r>
          </w:p>
          <w:p w14:paraId="2C610F15" w14:textId="07591108" w:rsidR="00535F3D" w:rsidRDefault="00535F3D" w:rsidP="00535F3D">
            <w:pPr>
              <w:pStyle w:val="Lijstalinea"/>
              <w:numPr>
                <w:ilvl w:val="0"/>
                <w:numId w:val="2"/>
              </w:numPr>
              <w:ind w:left="462"/>
              <w:rPr>
                <w:rFonts w:cstheme="minorHAnsi"/>
                <w:sz w:val="20"/>
                <w:szCs w:val="20"/>
                <w:lang w:val="en-US"/>
              </w:rPr>
            </w:pPr>
            <w:r w:rsidRPr="00535F3D">
              <w:rPr>
                <w:rFonts w:cstheme="minorHAnsi"/>
                <w:b/>
                <w:sz w:val="20"/>
                <w:szCs w:val="20"/>
                <w:lang w:val="en-US"/>
              </w:rPr>
              <w:t>I15C</w:t>
            </w:r>
            <w:r w:rsidRPr="00535F3D">
              <w:rPr>
                <w:rFonts w:cstheme="minorHAnsi"/>
                <w:sz w:val="20"/>
                <w:szCs w:val="20"/>
                <w:lang w:val="en-US"/>
              </w:rPr>
              <w:t>: Issuer other than SME under PR Article 15(1)(c)</w:t>
            </w:r>
          </w:p>
          <w:p w14:paraId="7E0A1C19" w14:textId="77777777" w:rsidR="00385CDE" w:rsidRDefault="00535F3D" w:rsidP="00535F3D">
            <w:pPr>
              <w:pStyle w:val="Lijstalinea"/>
              <w:numPr>
                <w:ilvl w:val="0"/>
                <w:numId w:val="2"/>
              </w:numPr>
              <w:ind w:left="462"/>
              <w:rPr>
                <w:rFonts w:cstheme="minorHAnsi"/>
                <w:sz w:val="20"/>
                <w:szCs w:val="20"/>
                <w:lang w:val="en-US"/>
              </w:rPr>
            </w:pPr>
            <w:r w:rsidRPr="00535F3D">
              <w:rPr>
                <w:rFonts w:cstheme="minorHAnsi"/>
                <w:b/>
                <w:sz w:val="20"/>
                <w:szCs w:val="20"/>
                <w:lang w:val="en-US"/>
              </w:rPr>
              <w:t>O15D</w:t>
            </w:r>
            <w:r w:rsidRPr="00535F3D">
              <w:rPr>
                <w:rFonts w:cstheme="minorHAnsi"/>
                <w:sz w:val="20"/>
                <w:szCs w:val="20"/>
                <w:lang w:val="en-US"/>
              </w:rPr>
              <w:t>: Offeror of securities under PR Article 15(1)(d)</w:t>
            </w:r>
          </w:p>
          <w:p w14:paraId="734A21C9" w14:textId="77777777" w:rsidR="00535F3D" w:rsidRDefault="00535F3D" w:rsidP="00535F3D">
            <w:pPr>
              <w:rPr>
                <w:rFonts w:cstheme="minorHAnsi"/>
                <w:sz w:val="20"/>
                <w:szCs w:val="20"/>
                <w:lang w:val="en-US"/>
              </w:rPr>
            </w:pPr>
          </w:p>
          <w:p w14:paraId="4FBB1982" w14:textId="52F3EFFA" w:rsidR="00535F3D" w:rsidRPr="00535F3D" w:rsidRDefault="00535F3D" w:rsidP="00535F3D">
            <w:pPr>
              <w:rPr>
                <w:rFonts w:cstheme="minorHAnsi"/>
                <w:sz w:val="20"/>
                <w:szCs w:val="20"/>
                <w:lang w:val="en-US"/>
              </w:rPr>
            </w:pPr>
            <w:r>
              <w:rPr>
                <w:rFonts w:cstheme="minorHAnsi"/>
                <w:sz w:val="20"/>
                <w:szCs w:val="20"/>
                <w:lang w:val="en-US"/>
              </w:rPr>
              <w:t>Or indicate ‘not applicable’ if EU Growth prospectus regime is not applied.</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7CE7A2D" w14:textId="77777777" w:rsidR="00385CDE" w:rsidRPr="00543495" w:rsidRDefault="00385CDE" w:rsidP="00385CDE">
            <w:pPr>
              <w:rPr>
                <w:rFonts w:cstheme="minorHAnsi"/>
                <w:sz w:val="20"/>
                <w:szCs w:val="20"/>
                <w:lang w:val="en-US"/>
              </w:rPr>
            </w:pPr>
          </w:p>
        </w:tc>
      </w:tr>
    </w:tbl>
    <w:p w14:paraId="4CDEBF8C" w14:textId="77777777" w:rsidR="00543495" w:rsidRPr="00543495" w:rsidRDefault="00543495">
      <w:pPr>
        <w:rPr>
          <w:rFonts w:cstheme="minorHAnsi"/>
          <w:sz w:val="20"/>
          <w:szCs w:val="20"/>
          <w:lang w:val="en-US"/>
        </w:rPr>
      </w:pPr>
    </w:p>
    <w:sectPr w:rsidR="00543495" w:rsidRPr="00543495" w:rsidSect="004B54EC">
      <w:headerReference w:type="default" r:id="rId9"/>
      <w:footerReference w:type="default" r:id="rId10"/>
      <w:pgSz w:w="16838" w:h="11906" w:orient="landscape"/>
      <w:pgMar w:top="1531" w:right="1497"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0F33" w14:textId="77777777" w:rsidR="0089786B" w:rsidRDefault="0089786B" w:rsidP="00CA5367">
      <w:pPr>
        <w:spacing w:after="0" w:line="240" w:lineRule="auto"/>
      </w:pPr>
      <w:r>
        <w:separator/>
      </w:r>
    </w:p>
  </w:endnote>
  <w:endnote w:type="continuationSeparator" w:id="0">
    <w:p w14:paraId="4B308457" w14:textId="77777777" w:rsidR="0089786B" w:rsidRDefault="0089786B" w:rsidP="00CA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906602"/>
      <w:docPartObj>
        <w:docPartGallery w:val="Page Numbers (Bottom of Page)"/>
        <w:docPartUnique/>
      </w:docPartObj>
    </w:sdtPr>
    <w:sdtEndPr>
      <w:rPr>
        <w:noProof/>
      </w:rPr>
    </w:sdtEndPr>
    <w:sdtContent>
      <w:p w14:paraId="4B5C076E" w14:textId="02CD6AD8" w:rsidR="00CA5367" w:rsidRDefault="00CA5367">
        <w:pPr>
          <w:pStyle w:val="Voettekst"/>
          <w:jc w:val="right"/>
        </w:pPr>
        <w:r>
          <w:fldChar w:fldCharType="begin"/>
        </w:r>
        <w:r>
          <w:instrText xml:space="preserve"> PAGE   \* MERGEFORMAT </w:instrText>
        </w:r>
        <w:r>
          <w:fldChar w:fldCharType="separate"/>
        </w:r>
        <w:r w:rsidR="000E5C37">
          <w:rPr>
            <w:noProof/>
          </w:rPr>
          <w:t>2</w:t>
        </w:r>
        <w:r>
          <w:rPr>
            <w:noProof/>
          </w:rPr>
          <w:fldChar w:fldCharType="end"/>
        </w:r>
      </w:p>
    </w:sdtContent>
  </w:sdt>
  <w:p w14:paraId="070DB8C3" w14:textId="77777777" w:rsidR="00CA5367" w:rsidRDefault="00CA53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C5E9" w14:textId="77777777" w:rsidR="0089786B" w:rsidRDefault="0089786B" w:rsidP="00CA5367">
      <w:pPr>
        <w:spacing w:after="0" w:line="240" w:lineRule="auto"/>
      </w:pPr>
      <w:r>
        <w:separator/>
      </w:r>
    </w:p>
  </w:footnote>
  <w:footnote w:type="continuationSeparator" w:id="0">
    <w:p w14:paraId="47C97465" w14:textId="77777777" w:rsidR="0089786B" w:rsidRDefault="0089786B" w:rsidP="00CA5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2088" w14:textId="77777777" w:rsidR="00D53F17" w:rsidRDefault="00D53F17" w:rsidP="00D53F17">
    <w:pPr>
      <w:pStyle w:val="Koptekst"/>
      <w:tabs>
        <w:tab w:val="clear" w:pos="4536"/>
        <w:tab w:val="clear" w:pos="9072"/>
        <w:tab w:val="left" w:pos="11055"/>
      </w:tabs>
      <w:jc w:val="right"/>
    </w:pPr>
    <w:bookmarkStart w:id="0" w:name="_Hlk74050823"/>
    <w:bookmarkStart w:id="1" w:name="_Hlk74050824"/>
    <w:bookmarkStart w:id="2" w:name="_Hlk74050968"/>
    <w:bookmarkStart w:id="3" w:name="_Hlk74050969"/>
    <w:bookmarkStart w:id="4" w:name="_Hlk74051008"/>
    <w:bookmarkStart w:id="5" w:name="_Hlk74051009"/>
    <w:bookmarkStart w:id="6" w:name="_Hlk74051922"/>
    <w:bookmarkStart w:id="7" w:name="_Hlk74051923"/>
    <w:bookmarkStart w:id="8" w:name="_Hlk74051958"/>
    <w:bookmarkStart w:id="9" w:name="_Hlk74051959"/>
    <w:bookmarkStart w:id="10" w:name="_Hlk74052075"/>
    <w:bookmarkStart w:id="11" w:name="_Hlk74052076"/>
    <w:bookmarkStart w:id="12" w:name="_Hlk74052105"/>
    <w:bookmarkStart w:id="13" w:name="_Hlk74052106"/>
    <w:bookmarkStart w:id="14" w:name="_Hlk74052670"/>
    <w:bookmarkStart w:id="15" w:name="_Hlk74052671"/>
    <w:bookmarkStart w:id="16" w:name="_Hlk74052701"/>
    <w:bookmarkStart w:id="17" w:name="_Hlk74052702"/>
    <w:bookmarkStart w:id="18" w:name="_Hlk74053265"/>
    <w:bookmarkStart w:id="19" w:name="_Hlk74053266"/>
    <w:bookmarkStart w:id="20" w:name="_Hlk74053291"/>
    <w:bookmarkStart w:id="21" w:name="_Hlk74053292"/>
    <w:bookmarkStart w:id="22" w:name="_Hlk74053567"/>
    <w:bookmarkStart w:id="23" w:name="_Hlk74053568"/>
    <w:bookmarkStart w:id="24" w:name="_Hlk74053594"/>
    <w:bookmarkStart w:id="25" w:name="_Hlk74053595"/>
    <w:bookmarkStart w:id="26" w:name="_Hlk74053760"/>
    <w:bookmarkStart w:id="27" w:name="_Hlk74053761"/>
    <w:bookmarkStart w:id="28" w:name="_Hlk74053786"/>
    <w:bookmarkStart w:id="29" w:name="_Hlk74053787"/>
    <w:bookmarkStart w:id="30" w:name="_Hlk74054761"/>
    <w:bookmarkStart w:id="31" w:name="_Hlk74054762"/>
    <w:bookmarkStart w:id="32" w:name="_Hlk74055050"/>
    <w:bookmarkStart w:id="33" w:name="_Hlk74055051"/>
    <w:bookmarkStart w:id="34" w:name="_Hlk74055179"/>
    <w:bookmarkStart w:id="35" w:name="_Hlk74055180"/>
    <w:bookmarkStart w:id="36" w:name="_Hlk74055220"/>
    <w:bookmarkStart w:id="37" w:name="_Hlk74055221"/>
    <w:bookmarkStart w:id="38" w:name="_Hlk74081404"/>
    <w:bookmarkStart w:id="39" w:name="_Hlk74081405"/>
    <w:bookmarkStart w:id="40" w:name="_Hlk74081446"/>
    <w:bookmarkStart w:id="41" w:name="_Hlk74081447"/>
    <w:bookmarkStart w:id="42" w:name="_Hlk74081615"/>
    <w:bookmarkStart w:id="43" w:name="_Hlk74081616"/>
    <w:bookmarkStart w:id="44" w:name="_Hlk74081649"/>
    <w:bookmarkStart w:id="45" w:name="_Hlk74081650"/>
    <w:bookmarkStart w:id="46" w:name="_Hlk74117583"/>
    <w:bookmarkStart w:id="47" w:name="_Hlk74117584"/>
    <w:bookmarkStart w:id="48" w:name="_Hlk74117617"/>
    <w:bookmarkStart w:id="49" w:name="_Hlk74117618"/>
    <w:bookmarkStart w:id="50" w:name="_Hlk74117787"/>
    <w:bookmarkStart w:id="51" w:name="_Hlk74117788"/>
    <w:bookmarkStart w:id="52" w:name="_Hlk74117864"/>
    <w:bookmarkStart w:id="53" w:name="_Hlk74117865"/>
    <w:bookmarkStart w:id="54" w:name="_Hlk74118601"/>
    <w:bookmarkStart w:id="55" w:name="_Hlk74118602"/>
    <w:bookmarkStart w:id="56" w:name="_Hlk74118704"/>
    <w:bookmarkStart w:id="57" w:name="_Hlk74118705"/>
  </w:p>
  <w:p w14:paraId="4885EF8D" w14:textId="77777777" w:rsidR="00D53F17" w:rsidRDefault="00D53F17" w:rsidP="00D53F17">
    <w:pPr>
      <w:pStyle w:val="Koptekst"/>
      <w:tabs>
        <w:tab w:val="clear" w:pos="4536"/>
        <w:tab w:val="clear" w:pos="9072"/>
        <w:tab w:val="left" w:pos="11055"/>
      </w:tabs>
      <w:jc w:val="right"/>
    </w:pPr>
    <w:r>
      <w:rPr>
        <w:noProof/>
      </w:rPr>
      <w:drawing>
        <wp:inline distT="0" distB="0" distL="0" distR="0" wp14:anchorId="255C0C74" wp14:editId="5756768F">
          <wp:extent cx="1529715" cy="365760"/>
          <wp:effectExtent l="0" t="0" r="0" b="0"/>
          <wp:docPr id="2" name="Afbeelding 2"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5543CEA9" w14:textId="77777777" w:rsidR="00D53F17" w:rsidRDefault="00D53F17" w:rsidP="00D53F17">
    <w:pPr>
      <w:pStyle w:val="Koptekst"/>
      <w:tabs>
        <w:tab w:val="clear" w:pos="4536"/>
        <w:tab w:val="clear" w:pos="9072"/>
        <w:tab w:val="left" w:pos="11055"/>
      </w:tabs>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51E2D193" w14:textId="13FD1722" w:rsidR="00543495" w:rsidRDefault="005434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5E6"/>
    <w:multiLevelType w:val="hybridMultilevel"/>
    <w:tmpl w:val="5836A392"/>
    <w:lvl w:ilvl="0" w:tplc="3C8C2060">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A4041A"/>
    <w:multiLevelType w:val="hybridMultilevel"/>
    <w:tmpl w:val="A8C641E8"/>
    <w:lvl w:ilvl="0" w:tplc="4BD46C64">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5D34CF"/>
    <w:multiLevelType w:val="hybridMultilevel"/>
    <w:tmpl w:val="0BEA837C"/>
    <w:lvl w:ilvl="0" w:tplc="F16EBA7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9F7804"/>
    <w:multiLevelType w:val="hybridMultilevel"/>
    <w:tmpl w:val="5DA052C4"/>
    <w:lvl w:ilvl="0" w:tplc="E4F4E6AE">
      <w:start w:val="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0F3DEE"/>
    <w:multiLevelType w:val="hybridMultilevel"/>
    <w:tmpl w:val="41A6C902"/>
    <w:lvl w:ilvl="0" w:tplc="4524D31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BA"/>
    <w:rsid w:val="00096798"/>
    <w:rsid w:val="000A5B85"/>
    <w:rsid w:val="000E5C37"/>
    <w:rsid w:val="001863B2"/>
    <w:rsid w:val="001B1FEF"/>
    <w:rsid w:val="00221835"/>
    <w:rsid w:val="0029194A"/>
    <w:rsid w:val="003445C2"/>
    <w:rsid w:val="00385CDE"/>
    <w:rsid w:val="003B0147"/>
    <w:rsid w:val="00480FDF"/>
    <w:rsid w:val="004B54EC"/>
    <w:rsid w:val="004D4B57"/>
    <w:rsid w:val="00535F3D"/>
    <w:rsid w:val="00543495"/>
    <w:rsid w:val="00550AFE"/>
    <w:rsid w:val="005E39BA"/>
    <w:rsid w:val="005E75B2"/>
    <w:rsid w:val="00685CE2"/>
    <w:rsid w:val="007A1C78"/>
    <w:rsid w:val="007E5C8A"/>
    <w:rsid w:val="00865EF9"/>
    <w:rsid w:val="00894BA5"/>
    <w:rsid w:val="0089786B"/>
    <w:rsid w:val="008E4616"/>
    <w:rsid w:val="00903C21"/>
    <w:rsid w:val="009213BB"/>
    <w:rsid w:val="00933BAD"/>
    <w:rsid w:val="00952CA6"/>
    <w:rsid w:val="00971605"/>
    <w:rsid w:val="009D03F8"/>
    <w:rsid w:val="00A03BD3"/>
    <w:rsid w:val="00A648E3"/>
    <w:rsid w:val="00A77251"/>
    <w:rsid w:val="00A8108E"/>
    <w:rsid w:val="00AE24F1"/>
    <w:rsid w:val="00B35C81"/>
    <w:rsid w:val="00B97B61"/>
    <w:rsid w:val="00BC1EF3"/>
    <w:rsid w:val="00CA5367"/>
    <w:rsid w:val="00CF5307"/>
    <w:rsid w:val="00D034C9"/>
    <w:rsid w:val="00D53F17"/>
    <w:rsid w:val="00E13A64"/>
    <w:rsid w:val="00ED46A5"/>
    <w:rsid w:val="00F93D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449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E3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85CE2"/>
    <w:rPr>
      <w:sz w:val="16"/>
      <w:szCs w:val="16"/>
    </w:rPr>
  </w:style>
  <w:style w:type="paragraph" w:styleId="Tekstopmerking">
    <w:name w:val="annotation text"/>
    <w:basedOn w:val="Standaard"/>
    <w:link w:val="TekstopmerkingChar"/>
    <w:uiPriority w:val="99"/>
    <w:semiHidden/>
    <w:unhideWhenUsed/>
    <w:rsid w:val="00685CE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5CE2"/>
    <w:rPr>
      <w:sz w:val="20"/>
      <w:szCs w:val="20"/>
    </w:rPr>
  </w:style>
  <w:style w:type="paragraph" w:styleId="Onderwerpvanopmerking">
    <w:name w:val="annotation subject"/>
    <w:basedOn w:val="Tekstopmerking"/>
    <w:next w:val="Tekstopmerking"/>
    <w:link w:val="OnderwerpvanopmerkingChar"/>
    <w:uiPriority w:val="99"/>
    <w:semiHidden/>
    <w:unhideWhenUsed/>
    <w:rsid w:val="00685CE2"/>
    <w:rPr>
      <w:b/>
      <w:bCs/>
    </w:rPr>
  </w:style>
  <w:style w:type="character" w:customStyle="1" w:styleId="OnderwerpvanopmerkingChar">
    <w:name w:val="Onderwerp van opmerking Char"/>
    <w:basedOn w:val="TekstopmerkingChar"/>
    <w:link w:val="Onderwerpvanopmerking"/>
    <w:uiPriority w:val="99"/>
    <w:semiHidden/>
    <w:rsid w:val="00685CE2"/>
    <w:rPr>
      <w:b/>
      <w:bCs/>
      <w:sz w:val="20"/>
      <w:szCs w:val="20"/>
    </w:rPr>
  </w:style>
  <w:style w:type="paragraph" w:styleId="Ballontekst">
    <w:name w:val="Balloon Text"/>
    <w:basedOn w:val="Standaard"/>
    <w:link w:val="BallontekstChar"/>
    <w:uiPriority w:val="99"/>
    <w:semiHidden/>
    <w:unhideWhenUsed/>
    <w:rsid w:val="00685CE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5CE2"/>
    <w:rPr>
      <w:rFonts w:ascii="Segoe UI" w:hAnsi="Segoe UI" w:cs="Segoe UI"/>
      <w:sz w:val="18"/>
      <w:szCs w:val="18"/>
    </w:rPr>
  </w:style>
  <w:style w:type="paragraph" w:styleId="Lijstalinea">
    <w:name w:val="List Paragraph"/>
    <w:basedOn w:val="Standaard"/>
    <w:uiPriority w:val="34"/>
    <w:qFormat/>
    <w:rsid w:val="00CA5367"/>
    <w:pPr>
      <w:ind w:left="720"/>
      <w:contextualSpacing/>
    </w:pPr>
  </w:style>
  <w:style w:type="paragraph" w:styleId="Koptekst">
    <w:name w:val="header"/>
    <w:basedOn w:val="Standaard"/>
    <w:link w:val="KoptekstChar"/>
    <w:uiPriority w:val="99"/>
    <w:unhideWhenUsed/>
    <w:rsid w:val="00CA53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5367"/>
  </w:style>
  <w:style w:type="paragraph" w:styleId="Voettekst">
    <w:name w:val="footer"/>
    <w:basedOn w:val="Standaard"/>
    <w:link w:val="VoettekstChar"/>
    <w:uiPriority w:val="99"/>
    <w:unhideWhenUsed/>
    <w:rsid w:val="00CA53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5367"/>
  </w:style>
  <w:style w:type="character" w:styleId="Hyperlink">
    <w:name w:val="Hyperlink"/>
    <w:basedOn w:val="Standaardalinea-lettertype"/>
    <w:uiPriority w:val="99"/>
    <w:unhideWhenUsed/>
    <w:rsid w:val="00CF5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4362">
      <w:bodyDiv w:val="1"/>
      <w:marLeft w:val="0"/>
      <w:marRight w:val="0"/>
      <w:marTop w:val="0"/>
      <w:marBottom w:val="0"/>
      <w:divBdr>
        <w:top w:val="none" w:sz="0" w:space="0" w:color="auto"/>
        <w:left w:val="none" w:sz="0" w:space="0" w:color="auto"/>
        <w:bottom w:val="none" w:sz="0" w:space="0" w:color="auto"/>
        <w:right w:val="none" w:sz="0" w:space="0" w:color="auto"/>
      </w:divBdr>
    </w:div>
    <w:div w:id="120346519">
      <w:bodyDiv w:val="1"/>
      <w:marLeft w:val="390"/>
      <w:marRight w:val="390"/>
      <w:marTop w:val="0"/>
      <w:marBottom w:val="0"/>
      <w:divBdr>
        <w:top w:val="none" w:sz="0" w:space="0" w:color="auto"/>
        <w:left w:val="none" w:sz="0" w:space="0" w:color="auto"/>
        <w:bottom w:val="none" w:sz="0" w:space="0" w:color="auto"/>
        <w:right w:val="none" w:sz="0" w:space="0" w:color="auto"/>
      </w:divBdr>
      <w:divsChild>
        <w:div w:id="1352341099">
          <w:marLeft w:val="0"/>
          <w:marRight w:val="0"/>
          <w:marTop w:val="0"/>
          <w:marBottom w:val="0"/>
          <w:divBdr>
            <w:top w:val="none" w:sz="0" w:space="0" w:color="auto"/>
            <w:left w:val="none" w:sz="0" w:space="0" w:color="auto"/>
            <w:bottom w:val="none" w:sz="0" w:space="0" w:color="auto"/>
            <w:right w:val="none" w:sz="0" w:space="0" w:color="auto"/>
          </w:divBdr>
          <w:divsChild>
            <w:div w:id="524248824">
              <w:marLeft w:val="0"/>
              <w:marRight w:val="0"/>
              <w:marTop w:val="0"/>
              <w:marBottom w:val="0"/>
              <w:divBdr>
                <w:top w:val="none" w:sz="0" w:space="0" w:color="auto"/>
                <w:left w:val="none" w:sz="0" w:space="0" w:color="auto"/>
                <w:bottom w:val="none" w:sz="0" w:space="0" w:color="auto"/>
                <w:right w:val="none" w:sz="0" w:space="0" w:color="auto"/>
              </w:divBdr>
              <w:divsChild>
                <w:div w:id="1206798225">
                  <w:marLeft w:val="-150"/>
                  <w:marRight w:val="-150"/>
                  <w:marTop w:val="0"/>
                  <w:marBottom w:val="0"/>
                  <w:divBdr>
                    <w:top w:val="none" w:sz="0" w:space="0" w:color="auto"/>
                    <w:left w:val="none" w:sz="0" w:space="0" w:color="auto"/>
                    <w:bottom w:val="none" w:sz="0" w:space="0" w:color="auto"/>
                    <w:right w:val="none" w:sz="0" w:space="0" w:color="auto"/>
                  </w:divBdr>
                  <w:divsChild>
                    <w:div w:id="1913464363">
                      <w:marLeft w:val="0"/>
                      <w:marRight w:val="0"/>
                      <w:marTop w:val="0"/>
                      <w:marBottom w:val="0"/>
                      <w:divBdr>
                        <w:top w:val="none" w:sz="0" w:space="0" w:color="auto"/>
                        <w:left w:val="none" w:sz="0" w:space="0" w:color="auto"/>
                        <w:bottom w:val="none" w:sz="0" w:space="0" w:color="auto"/>
                        <w:right w:val="none" w:sz="0" w:space="0" w:color="auto"/>
                      </w:divBdr>
                      <w:divsChild>
                        <w:div w:id="138695192">
                          <w:marLeft w:val="0"/>
                          <w:marRight w:val="0"/>
                          <w:marTop w:val="0"/>
                          <w:marBottom w:val="0"/>
                          <w:divBdr>
                            <w:top w:val="none" w:sz="0" w:space="0" w:color="auto"/>
                            <w:left w:val="none" w:sz="0" w:space="0" w:color="auto"/>
                            <w:bottom w:val="none" w:sz="0" w:space="0" w:color="auto"/>
                            <w:right w:val="none" w:sz="0" w:space="0" w:color="auto"/>
                          </w:divBdr>
                          <w:divsChild>
                            <w:div w:id="5398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074261">
      <w:bodyDiv w:val="1"/>
      <w:marLeft w:val="0"/>
      <w:marRight w:val="0"/>
      <w:marTop w:val="0"/>
      <w:marBottom w:val="0"/>
      <w:divBdr>
        <w:top w:val="none" w:sz="0" w:space="0" w:color="auto"/>
        <w:left w:val="none" w:sz="0" w:space="0" w:color="auto"/>
        <w:bottom w:val="none" w:sz="0" w:space="0" w:color="auto"/>
        <w:right w:val="none" w:sz="0" w:space="0" w:color="auto"/>
      </w:divBdr>
    </w:div>
    <w:div w:id="1630670402">
      <w:bodyDiv w:val="1"/>
      <w:marLeft w:val="0"/>
      <w:marRight w:val="0"/>
      <w:marTop w:val="0"/>
      <w:marBottom w:val="0"/>
      <w:divBdr>
        <w:top w:val="none" w:sz="0" w:space="0" w:color="auto"/>
        <w:left w:val="none" w:sz="0" w:space="0" w:color="auto"/>
        <w:bottom w:val="none" w:sz="0" w:space="0" w:color="auto"/>
        <w:right w:val="none" w:sz="0" w:space="0" w:color="auto"/>
      </w:divBdr>
    </w:div>
    <w:div w:id="1712996148">
      <w:bodyDiv w:val="1"/>
      <w:marLeft w:val="0"/>
      <w:marRight w:val="0"/>
      <w:marTop w:val="0"/>
      <w:marBottom w:val="0"/>
      <w:divBdr>
        <w:top w:val="none" w:sz="0" w:space="0" w:color="auto"/>
        <w:left w:val="none" w:sz="0" w:space="0" w:color="auto"/>
        <w:bottom w:val="none" w:sz="0" w:space="0" w:color="auto"/>
        <w:right w:val="none" w:sz="0" w:space="0" w:color="auto"/>
      </w:divBdr>
      <w:divsChild>
        <w:div w:id="523709506">
          <w:marLeft w:val="0"/>
          <w:marRight w:val="0"/>
          <w:marTop w:val="0"/>
          <w:marBottom w:val="0"/>
          <w:divBdr>
            <w:top w:val="none" w:sz="0" w:space="0" w:color="auto"/>
            <w:left w:val="none" w:sz="0" w:space="0" w:color="auto"/>
            <w:bottom w:val="none" w:sz="0" w:space="0" w:color="auto"/>
            <w:right w:val="none" w:sz="0" w:space="0" w:color="auto"/>
          </w:divBdr>
          <w:divsChild>
            <w:div w:id="1410813715">
              <w:marLeft w:val="-225"/>
              <w:marRight w:val="-225"/>
              <w:marTop w:val="0"/>
              <w:marBottom w:val="0"/>
              <w:divBdr>
                <w:top w:val="none" w:sz="0" w:space="0" w:color="auto"/>
                <w:left w:val="none" w:sz="0" w:space="0" w:color="auto"/>
                <w:bottom w:val="none" w:sz="0" w:space="0" w:color="auto"/>
                <w:right w:val="none" w:sz="0" w:space="0" w:color="auto"/>
              </w:divBdr>
              <w:divsChild>
                <w:div w:id="15367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m.nl/en/professionals/doelgroepen/effectenuitgevende-ondernemingen/prospectustoezicht-nieuw/goedkeu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5AC9A-3AA6-476A-B527-23509B9F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2020-12-30T12:24:00Z</dcterms:created>
  <dcterms:modified xsi:type="dcterms:W3CDTF">2021-06-18T14:57:00Z</dcterms:modified>
</cp:coreProperties>
</file>